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442ED">
      <w:pPr>
        <w:jc w:val="both"/>
        <w:rPr>
          <w:rStyle w:val="6"/>
          <w:rFonts w:hint="eastAsia" w:ascii="宋体" w:hAnsi="宋体" w:eastAsia="宋体" w:cs="宋体"/>
          <w:b/>
          <w:bCs/>
          <w:color w:val="auto"/>
          <w:sz w:val="44"/>
          <w:szCs w:val="44"/>
          <w:lang w:val="en-US" w:eastAsia="zh-CN"/>
        </w:rPr>
      </w:pPr>
      <w:r>
        <w:rPr>
          <w:rStyle w:val="6"/>
          <w:rFonts w:hint="eastAsia" w:ascii="宋体" w:hAnsi="宋体" w:eastAsia="宋体" w:cs="宋体"/>
          <w:b/>
          <w:bCs/>
          <w:color w:val="auto"/>
          <w:sz w:val="28"/>
          <w:szCs w:val="28"/>
          <w:lang w:val="en-US" w:eastAsia="zh-CN"/>
        </w:rPr>
        <w:t>附件：</w:t>
      </w:r>
      <w:r>
        <w:rPr>
          <w:rStyle w:val="6"/>
          <w:rFonts w:hint="eastAsia" w:ascii="宋体" w:hAnsi="宋体" w:eastAsia="宋体" w:cs="宋体"/>
          <w:b/>
          <w:bCs/>
          <w:color w:val="auto"/>
          <w:sz w:val="44"/>
          <w:szCs w:val="44"/>
          <w:lang w:val="en-US" w:eastAsia="zh-CN"/>
        </w:rPr>
        <w:t xml:space="preserve">  </w:t>
      </w:r>
    </w:p>
    <w:p w14:paraId="2E279273">
      <w:pPr>
        <w:jc w:val="center"/>
        <w:rPr>
          <w:rStyle w:val="6"/>
          <w:rFonts w:hint="eastAsia" w:ascii="宋体" w:hAnsi="宋体" w:eastAsia="宋体" w:cs="宋体"/>
          <w:b/>
          <w:bCs/>
          <w:color w:val="auto"/>
          <w:sz w:val="44"/>
          <w:szCs w:val="44"/>
          <w:lang w:val="en-US" w:eastAsia="zh-CN"/>
        </w:rPr>
      </w:pPr>
      <w:r>
        <w:rPr>
          <w:rStyle w:val="6"/>
          <w:rFonts w:hint="eastAsia" w:ascii="宋体" w:hAnsi="宋体" w:eastAsia="宋体" w:cs="宋体"/>
          <w:b/>
          <w:bCs/>
          <w:color w:val="auto"/>
          <w:sz w:val="44"/>
          <w:szCs w:val="44"/>
          <w:lang w:val="en-US" w:eastAsia="zh-CN"/>
        </w:rPr>
        <w:t>湖南图书馆藏古籍善本活化项目</w:t>
      </w:r>
    </w:p>
    <w:p w14:paraId="21C8BC88">
      <w:pPr>
        <w:jc w:val="center"/>
        <w:rPr>
          <w:rStyle w:val="6"/>
          <w:rFonts w:hint="eastAsia" w:ascii="宋体" w:hAnsi="宋体" w:eastAsia="宋体" w:cs="宋体"/>
          <w:b/>
          <w:bCs/>
          <w:color w:val="auto"/>
          <w:sz w:val="44"/>
          <w:szCs w:val="44"/>
          <w:lang w:val="en-US" w:eastAsia="zh-CN"/>
        </w:rPr>
      </w:pPr>
      <w:r>
        <w:rPr>
          <w:rStyle w:val="6"/>
          <w:rFonts w:hint="eastAsia" w:ascii="宋体" w:hAnsi="宋体" w:eastAsia="宋体" w:cs="宋体"/>
          <w:b/>
          <w:bCs/>
          <w:color w:val="auto"/>
          <w:sz w:val="44"/>
          <w:szCs w:val="44"/>
          <w:lang w:val="en-US" w:eastAsia="zh-CN"/>
        </w:rPr>
        <w:t>建设内容和技术要求</w:t>
      </w:r>
    </w:p>
    <w:p w14:paraId="7566DB13">
      <w:pPr>
        <w:pStyle w:val="3"/>
        <w:rPr>
          <w:rFonts w:hint="eastAsia"/>
          <w:b/>
          <w:bCs/>
          <w:color w:val="auto"/>
          <w:sz w:val="21"/>
          <w:szCs w:val="21"/>
          <w:lang w:val="en-US" w:eastAsia="zh-CN"/>
        </w:rPr>
      </w:pPr>
    </w:p>
    <w:p w14:paraId="7AD87456">
      <w:pPr>
        <w:pStyle w:val="7"/>
        <w:widowControl w:val="0"/>
        <w:snapToGrid w:val="0"/>
        <w:jc w:val="left"/>
        <w:rPr>
          <w:rStyle w:val="5"/>
          <w:rFonts w:hint="default" w:ascii="宋体" w:hAnsi="宋体" w:eastAsia="宋体" w:cs="宋体"/>
          <w:b/>
          <w:bCs/>
          <w:color w:val="auto"/>
          <w:kern w:val="2"/>
          <w:sz w:val="21"/>
          <w:szCs w:val="21"/>
          <w:lang w:val="en-US" w:eastAsia="zh-CN" w:bidi="ar-SA"/>
        </w:rPr>
      </w:pPr>
      <w:r>
        <w:rPr>
          <w:rStyle w:val="5"/>
          <w:rFonts w:hint="eastAsia" w:ascii="宋体" w:hAnsi="宋体" w:eastAsia="宋体" w:cs="宋体"/>
          <w:b/>
          <w:bCs/>
          <w:color w:val="auto"/>
          <w:kern w:val="2"/>
          <w:sz w:val="21"/>
          <w:szCs w:val="21"/>
          <w:lang w:val="en-US" w:eastAsia="zh-CN" w:bidi="ar-SA"/>
        </w:rPr>
        <w:t>一、项目建设内容清单</w:t>
      </w:r>
    </w:p>
    <w:tbl>
      <w:tblPr>
        <w:tblStyle w:val="4"/>
        <w:tblW w:w="9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1440"/>
        <w:gridCol w:w="3346"/>
        <w:gridCol w:w="1677"/>
        <w:gridCol w:w="1897"/>
      </w:tblGrid>
      <w:tr w14:paraId="7141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477" w:type="dxa"/>
            <w:vAlign w:val="center"/>
          </w:tcPr>
          <w:p w14:paraId="116878CC">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b/>
                <w:bCs/>
                <w:color w:val="auto"/>
                <w:kern w:val="0"/>
                <w:sz w:val="24"/>
                <w:szCs w:val="24"/>
                <w:lang w:bidi="ar"/>
              </w:rPr>
              <w:t>序号</w:t>
            </w:r>
          </w:p>
        </w:tc>
        <w:tc>
          <w:tcPr>
            <w:tcW w:w="1440" w:type="dxa"/>
            <w:vAlign w:val="center"/>
          </w:tcPr>
          <w:p w14:paraId="5AF2E227">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b/>
                <w:bCs/>
                <w:color w:val="auto"/>
                <w:kern w:val="0"/>
                <w:sz w:val="24"/>
                <w:szCs w:val="24"/>
                <w:lang w:bidi="ar"/>
              </w:rPr>
              <w:t>项目</w:t>
            </w:r>
          </w:p>
        </w:tc>
        <w:tc>
          <w:tcPr>
            <w:tcW w:w="3346" w:type="dxa"/>
            <w:vAlign w:val="center"/>
          </w:tcPr>
          <w:p w14:paraId="5A8D54B6">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b/>
                <w:bCs/>
                <w:color w:val="auto"/>
                <w:kern w:val="0"/>
                <w:sz w:val="24"/>
                <w:szCs w:val="24"/>
                <w:lang w:bidi="ar"/>
              </w:rPr>
              <w:t>内容</w:t>
            </w:r>
          </w:p>
        </w:tc>
        <w:tc>
          <w:tcPr>
            <w:tcW w:w="1677" w:type="dxa"/>
            <w:vAlign w:val="center"/>
          </w:tcPr>
          <w:p w14:paraId="796B860B">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kern w:val="0"/>
                <w:sz w:val="24"/>
                <w:szCs w:val="24"/>
                <w:lang w:bidi="ar"/>
              </w:rPr>
              <w:t>数量</w:t>
            </w:r>
          </w:p>
        </w:tc>
        <w:tc>
          <w:tcPr>
            <w:tcW w:w="1897" w:type="dxa"/>
            <w:vAlign w:val="center"/>
          </w:tcPr>
          <w:p w14:paraId="1D7DF028">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b/>
                <w:bCs/>
                <w:color w:val="auto"/>
                <w:kern w:val="0"/>
                <w:sz w:val="24"/>
                <w:szCs w:val="24"/>
                <w:lang w:bidi="ar"/>
              </w:rPr>
            </w:pPr>
            <w:r>
              <w:rPr>
                <w:rFonts w:hint="eastAsia" w:ascii="微软雅黑" w:hAnsi="微软雅黑" w:eastAsia="微软雅黑" w:cs="微软雅黑"/>
                <w:b/>
                <w:bCs/>
                <w:color w:val="auto"/>
                <w:kern w:val="0"/>
                <w:sz w:val="24"/>
                <w:szCs w:val="24"/>
                <w:lang w:bidi="ar"/>
              </w:rPr>
              <w:t>要求</w:t>
            </w:r>
          </w:p>
        </w:tc>
      </w:tr>
      <w:tr w14:paraId="3020C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477" w:type="dxa"/>
            <w:vMerge w:val="restart"/>
            <w:vAlign w:val="center"/>
          </w:tcPr>
          <w:p w14:paraId="692CFA35">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1</w:t>
            </w:r>
          </w:p>
        </w:tc>
        <w:tc>
          <w:tcPr>
            <w:tcW w:w="1440" w:type="dxa"/>
            <w:vMerge w:val="restart"/>
            <w:vAlign w:val="center"/>
          </w:tcPr>
          <w:p w14:paraId="61CA6293">
            <w:pPr>
              <w:pStyle w:val="7"/>
              <w:keepNext w:val="0"/>
              <w:keepLines w:val="0"/>
              <w:pageBreakBefore w:val="0"/>
              <w:widowControl/>
              <w:overflowPunct/>
              <w:topLinePunct w:val="0"/>
              <w:bidi w:val="0"/>
              <w:spacing w:beforeAutospacing="0" w:afterAutospacing="0" w:line="360" w:lineRule="exact"/>
              <w:ind w:right="0"/>
              <w:jc w:val="both"/>
              <w:textAlignment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color w:val="auto"/>
                <w:sz w:val="24"/>
                <w:szCs w:val="24"/>
              </w:rPr>
              <w:t>湖南图书馆藏古籍善本活化项目</w:t>
            </w:r>
          </w:p>
        </w:tc>
        <w:tc>
          <w:tcPr>
            <w:tcW w:w="3346" w:type="dxa"/>
            <w:vAlign w:val="center"/>
          </w:tcPr>
          <w:p w14:paraId="0DB28B4D">
            <w:pPr>
              <w:pStyle w:val="7"/>
              <w:keepNext w:val="0"/>
              <w:keepLines w:val="0"/>
              <w:pageBreakBefore w:val="0"/>
              <w:overflowPunct/>
              <w:topLinePunct w:val="0"/>
              <w:bidi w:val="0"/>
              <w:spacing w:beforeAutospacing="0" w:afterAutospacing="0" w:line="360" w:lineRule="exact"/>
              <w:ind w:left="0" w:leftChars="0" w:right="0" w:firstLine="480" w:firstLineChars="200"/>
              <w:jc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color w:val="auto"/>
                <w:kern w:val="0"/>
                <w:sz w:val="24"/>
                <w:szCs w:val="24"/>
                <w:lang w:bidi="ar"/>
              </w:rPr>
              <w:t>古籍数字化扫描</w:t>
            </w:r>
          </w:p>
        </w:tc>
        <w:tc>
          <w:tcPr>
            <w:tcW w:w="1677" w:type="dxa"/>
            <w:vAlign w:val="center"/>
          </w:tcPr>
          <w:p w14:paraId="7C5F25F6">
            <w:pPr>
              <w:pStyle w:val="7"/>
              <w:keepNext w:val="0"/>
              <w:keepLines w:val="0"/>
              <w:pageBreakBefore w:val="0"/>
              <w:overflowPunct/>
              <w:topLinePunct w:val="0"/>
              <w:bidi w:val="0"/>
              <w:spacing w:beforeAutospacing="0" w:afterAutospacing="0" w:line="360" w:lineRule="exact"/>
              <w:ind w:right="0"/>
              <w:jc w:val="both"/>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7.5万筒子叶</w:t>
            </w:r>
          </w:p>
        </w:tc>
        <w:tc>
          <w:tcPr>
            <w:tcW w:w="1897" w:type="dxa"/>
            <w:vMerge w:val="restart"/>
            <w:vAlign w:val="center"/>
          </w:tcPr>
          <w:p w14:paraId="3EE5FC8F">
            <w:pPr>
              <w:pStyle w:val="7"/>
              <w:keepNext w:val="0"/>
              <w:keepLines w:val="0"/>
              <w:pageBreakBefore w:val="0"/>
              <w:overflowPunct/>
              <w:topLinePunct w:val="0"/>
              <w:bidi w:val="0"/>
              <w:spacing w:beforeAutospacing="0" w:afterAutospacing="0" w:line="420" w:lineRule="exact"/>
              <w:ind w:left="0" w:leftChars="0" w:right="0" w:firstLine="480" w:firstLineChars="200"/>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技术要求详见技术参数。</w:t>
            </w:r>
          </w:p>
          <w:p w14:paraId="7E210C0E">
            <w:pPr>
              <w:pStyle w:val="7"/>
              <w:keepNext w:val="0"/>
              <w:keepLines w:val="0"/>
              <w:pageBreakBefore w:val="0"/>
              <w:overflowPunct/>
              <w:topLinePunct w:val="0"/>
              <w:bidi w:val="0"/>
              <w:spacing w:beforeAutospacing="0" w:afterAutospacing="0" w:line="420" w:lineRule="exact"/>
              <w:ind w:left="0" w:leftChars="0" w:right="0" w:firstLine="480" w:firstLineChars="200"/>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格式提交要求具体见馆藏古籍善本数字化项目项目提交及验收要求</w:t>
            </w:r>
            <w:bookmarkStart w:id="7" w:name="_GoBack"/>
            <w:bookmarkEnd w:id="7"/>
            <w:r>
              <w:rPr>
                <w:rFonts w:hint="eastAsia" w:ascii="微软雅黑" w:hAnsi="微软雅黑" w:eastAsia="微软雅黑" w:cs="微软雅黑"/>
                <w:color w:val="auto"/>
                <w:kern w:val="0"/>
                <w:sz w:val="24"/>
                <w:szCs w:val="24"/>
                <w:lang w:bidi="ar"/>
              </w:rPr>
              <w:t>。</w:t>
            </w:r>
          </w:p>
        </w:tc>
      </w:tr>
      <w:tr w14:paraId="00F0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jc w:val="center"/>
        </w:trPr>
        <w:tc>
          <w:tcPr>
            <w:tcW w:w="1477" w:type="dxa"/>
            <w:vMerge w:val="continue"/>
            <w:vAlign w:val="center"/>
          </w:tcPr>
          <w:p w14:paraId="10DBB541">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b/>
                <w:bCs/>
                <w:color w:val="auto"/>
                <w:sz w:val="24"/>
                <w:szCs w:val="24"/>
              </w:rPr>
            </w:pPr>
          </w:p>
        </w:tc>
        <w:tc>
          <w:tcPr>
            <w:tcW w:w="1440" w:type="dxa"/>
            <w:vMerge w:val="continue"/>
            <w:vAlign w:val="center"/>
          </w:tcPr>
          <w:p w14:paraId="730BBDF6">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b/>
                <w:bCs/>
                <w:color w:val="auto"/>
                <w:sz w:val="24"/>
                <w:szCs w:val="24"/>
              </w:rPr>
            </w:pPr>
          </w:p>
        </w:tc>
        <w:tc>
          <w:tcPr>
            <w:tcW w:w="3346" w:type="dxa"/>
            <w:vAlign w:val="center"/>
          </w:tcPr>
          <w:p w14:paraId="1DBA3FC9">
            <w:pPr>
              <w:pStyle w:val="7"/>
              <w:keepNext w:val="0"/>
              <w:keepLines w:val="0"/>
              <w:pageBreakBefore w:val="0"/>
              <w:overflowPunct/>
              <w:topLinePunct w:val="0"/>
              <w:bidi w:val="0"/>
              <w:spacing w:beforeAutospacing="0" w:afterAutospacing="0" w:line="360" w:lineRule="exact"/>
              <w:ind w:left="0" w:leftChars="0" w:right="0" w:firstLine="480" w:firstLineChars="200"/>
              <w:jc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color w:val="auto"/>
                <w:kern w:val="0"/>
                <w:sz w:val="24"/>
                <w:szCs w:val="24"/>
                <w:lang w:bidi="ar"/>
              </w:rPr>
              <w:t>图像处理（校正、裁切、筒子叶拼接、OCR识别、版式还原、双层PDF生成、色彩管理等）</w:t>
            </w:r>
          </w:p>
        </w:tc>
        <w:tc>
          <w:tcPr>
            <w:tcW w:w="1677" w:type="dxa"/>
            <w:vAlign w:val="center"/>
          </w:tcPr>
          <w:p w14:paraId="08EFD79C">
            <w:pPr>
              <w:pStyle w:val="7"/>
              <w:keepNext w:val="0"/>
              <w:keepLines w:val="0"/>
              <w:pageBreakBefore w:val="0"/>
              <w:overflowPunct/>
              <w:topLinePunct w:val="0"/>
              <w:bidi w:val="0"/>
              <w:spacing w:beforeAutospacing="0" w:afterAutospacing="0" w:line="360" w:lineRule="exact"/>
              <w:ind w:right="0"/>
              <w:jc w:val="both"/>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7.5万筒子叶</w:t>
            </w:r>
          </w:p>
        </w:tc>
        <w:tc>
          <w:tcPr>
            <w:tcW w:w="1897" w:type="dxa"/>
            <w:vMerge w:val="continue"/>
            <w:vAlign w:val="center"/>
          </w:tcPr>
          <w:p w14:paraId="48E5EAD3">
            <w:pPr>
              <w:pStyle w:val="7"/>
              <w:keepNext w:val="0"/>
              <w:keepLines w:val="0"/>
              <w:pageBreakBefore w:val="0"/>
              <w:overflowPunct/>
              <w:topLinePunct w:val="0"/>
              <w:bidi w:val="0"/>
              <w:spacing w:beforeAutospacing="0" w:afterAutospacing="0" w:line="420" w:lineRule="exact"/>
              <w:ind w:left="0" w:leftChars="0" w:right="0" w:firstLine="480" w:firstLineChars="200"/>
              <w:rPr>
                <w:rFonts w:hint="eastAsia" w:ascii="微软雅黑" w:hAnsi="微软雅黑" w:eastAsia="微软雅黑" w:cs="微软雅黑"/>
                <w:color w:val="auto"/>
                <w:kern w:val="0"/>
                <w:sz w:val="24"/>
                <w:szCs w:val="24"/>
                <w:lang w:bidi="ar"/>
              </w:rPr>
            </w:pPr>
          </w:p>
        </w:tc>
      </w:tr>
      <w:tr w14:paraId="76FE2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477" w:type="dxa"/>
            <w:vMerge w:val="continue"/>
            <w:vAlign w:val="center"/>
          </w:tcPr>
          <w:p w14:paraId="2380AF68">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b/>
                <w:bCs/>
                <w:color w:val="auto"/>
                <w:sz w:val="24"/>
                <w:szCs w:val="24"/>
              </w:rPr>
            </w:pPr>
          </w:p>
        </w:tc>
        <w:tc>
          <w:tcPr>
            <w:tcW w:w="1440" w:type="dxa"/>
            <w:vMerge w:val="continue"/>
            <w:vAlign w:val="center"/>
          </w:tcPr>
          <w:p w14:paraId="13D7FFCC">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b/>
                <w:bCs/>
                <w:color w:val="auto"/>
                <w:sz w:val="24"/>
                <w:szCs w:val="24"/>
              </w:rPr>
            </w:pPr>
          </w:p>
        </w:tc>
        <w:tc>
          <w:tcPr>
            <w:tcW w:w="3346" w:type="dxa"/>
            <w:vAlign w:val="center"/>
          </w:tcPr>
          <w:p w14:paraId="0B70A379">
            <w:pPr>
              <w:pStyle w:val="7"/>
              <w:keepNext w:val="0"/>
              <w:keepLines w:val="0"/>
              <w:pageBreakBefore w:val="0"/>
              <w:overflowPunct/>
              <w:topLinePunct w:val="0"/>
              <w:bidi w:val="0"/>
              <w:spacing w:beforeAutospacing="0" w:afterAutospacing="0" w:line="360" w:lineRule="exact"/>
              <w:ind w:left="0" w:leftChars="0" w:right="0" w:firstLine="480" w:firstLineChars="200"/>
              <w:jc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color w:val="auto"/>
                <w:kern w:val="0"/>
                <w:sz w:val="24"/>
                <w:szCs w:val="24"/>
                <w:lang w:bidi="ar"/>
              </w:rPr>
              <w:t>数据处理（元数据著录、数据标引）</w:t>
            </w:r>
          </w:p>
        </w:tc>
        <w:tc>
          <w:tcPr>
            <w:tcW w:w="1677" w:type="dxa"/>
            <w:vAlign w:val="center"/>
          </w:tcPr>
          <w:p w14:paraId="7D725515">
            <w:pPr>
              <w:pStyle w:val="7"/>
              <w:keepNext w:val="0"/>
              <w:keepLines w:val="0"/>
              <w:pageBreakBefore w:val="0"/>
              <w:overflowPunct/>
              <w:topLinePunct w:val="0"/>
              <w:bidi w:val="0"/>
              <w:spacing w:beforeAutospacing="0" w:afterAutospacing="0" w:line="360" w:lineRule="exact"/>
              <w:ind w:right="0"/>
              <w:jc w:val="both"/>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7.5万筒子叶</w:t>
            </w:r>
          </w:p>
        </w:tc>
        <w:tc>
          <w:tcPr>
            <w:tcW w:w="1897" w:type="dxa"/>
            <w:vMerge w:val="continue"/>
            <w:vAlign w:val="center"/>
          </w:tcPr>
          <w:p w14:paraId="4979C3DB">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kern w:val="0"/>
                <w:sz w:val="24"/>
                <w:szCs w:val="24"/>
                <w:lang w:bidi="ar"/>
              </w:rPr>
            </w:pPr>
          </w:p>
        </w:tc>
      </w:tr>
      <w:tr w14:paraId="3600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477" w:type="dxa"/>
            <w:vMerge w:val="continue"/>
            <w:vAlign w:val="center"/>
          </w:tcPr>
          <w:p w14:paraId="571618A9">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b/>
                <w:bCs/>
                <w:color w:val="auto"/>
                <w:sz w:val="24"/>
                <w:szCs w:val="24"/>
              </w:rPr>
            </w:pPr>
          </w:p>
        </w:tc>
        <w:tc>
          <w:tcPr>
            <w:tcW w:w="1440" w:type="dxa"/>
            <w:vMerge w:val="continue"/>
            <w:vAlign w:val="center"/>
          </w:tcPr>
          <w:p w14:paraId="0184327A">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center"/>
              <w:textAlignment w:val="center"/>
              <w:rPr>
                <w:rFonts w:hint="eastAsia" w:ascii="微软雅黑" w:hAnsi="微软雅黑" w:eastAsia="微软雅黑" w:cs="微软雅黑"/>
                <w:b/>
                <w:bCs/>
                <w:color w:val="auto"/>
                <w:sz w:val="24"/>
                <w:szCs w:val="24"/>
              </w:rPr>
            </w:pPr>
          </w:p>
        </w:tc>
        <w:tc>
          <w:tcPr>
            <w:tcW w:w="3346" w:type="dxa"/>
            <w:vAlign w:val="center"/>
          </w:tcPr>
          <w:p w14:paraId="65CC861D">
            <w:pPr>
              <w:pStyle w:val="7"/>
              <w:keepNext w:val="0"/>
              <w:keepLines w:val="0"/>
              <w:pageBreakBefore w:val="0"/>
              <w:overflowPunct/>
              <w:topLinePunct w:val="0"/>
              <w:bidi w:val="0"/>
              <w:spacing w:beforeAutospacing="0" w:afterAutospacing="0" w:line="360" w:lineRule="exact"/>
              <w:ind w:left="0" w:leftChars="0" w:right="0" w:firstLine="480" w:firstLineChars="200"/>
              <w:jc w:val="center"/>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古籍数字化加工成果发布与终端展示</w:t>
            </w:r>
          </w:p>
        </w:tc>
        <w:tc>
          <w:tcPr>
            <w:tcW w:w="1677" w:type="dxa"/>
            <w:vAlign w:val="center"/>
          </w:tcPr>
          <w:p w14:paraId="36009E3C">
            <w:pPr>
              <w:pStyle w:val="7"/>
              <w:keepNext w:val="0"/>
              <w:keepLines w:val="0"/>
              <w:pageBreakBefore w:val="0"/>
              <w:overflowPunct/>
              <w:topLinePunct w:val="0"/>
              <w:bidi w:val="0"/>
              <w:spacing w:beforeAutospacing="0" w:afterAutospacing="0" w:line="360" w:lineRule="exact"/>
              <w:ind w:right="0"/>
              <w:jc w:val="both"/>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7.5万筒子叶</w:t>
            </w:r>
          </w:p>
        </w:tc>
        <w:tc>
          <w:tcPr>
            <w:tcW w:w="1897" w:type="dxa"/>
            <w:vMerge w:val="continue"/>
            <w:vAlign w:val="center"/>
          </w:tcPr>
          <w:p w14:paraId="3ED94C22">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kern w:val="0"/>
                <w:sz w:val="24"/>
                <w:szCs w:val="24"/>
                <w:lang w:bidi="ar"/>
              </w:rPr>
            </w:pPr>
          </w:p>
        </w:tc>
      </w:tr>
    </w:tbl>
    <w:p w14:paraId="732DD707">
      <w:pPr>
        <w:pStyle w:val="7"/>
        <w:rPr>
          <w:rStyle w:val="5"/>
          <w:rFonts w:hint="eastAsia" w:ascii="宋体" w:hAnsi="宋体" w:eastAsia="宋体" w:cs="宋体"/>
          <w:b/>
          <w:bCs/>
          <w:color w:val="auto"/>
          <w:sz w:val="28"/>
          <w:szCs w:val="28"/>
          <w:lang w:val="en-US" w:eastAsia="zh-CN"/>
        </w:rPr>
      </w:pPr>
    </w:p>
    <w:p w14:paraId="00311D2F">
      <w:pPr>
        <w:pStyle w:val="3"/>
        <w:rPr>
          <w:rFonts w:hint="eastAsia" w:ascii="Calibri" w:hAnsi="Calibri" w:eastAsia="宋体" w:cs="Times New Roman"/>
          <w:b/>
          <w:bCs/>
          <w:color w:val="auto"/>
          <w:sz w:val="21"/>
          <w:szCs w:val="21"/>
          <w:lang w:val="en-US" w:eastAsia="zh-CN"/>
        </w:rPr>
      </w:pPr>
      <w:r>
        <w:rPr>
          <w:rFonts w:hint="eastAsia" w:ascii="Calibri" w:hAnsi="Calibri" w:eastAsia="宋体" w:cs="Times New Roman"/>
          <w:b/>
          <w:bCs/>
          <w:color w:val="auto"/>
          <w:sz w:val="21"/>
          <w:szCs w:val="21"/>
          <w:lang w:val="en-US" w:eastAsia="zh-CN"/>
        </w:rPr>
        <w:t>二、技术要求</w:t>
      </w:r>
    </w:p>
    <w:p w14:paraId="61190A97">
      <w:pPr>
        <w:pStyle w:val="7"/>
        <w:keepNext w:val="0"/>
        <w:keepLines w:val="0"/>
        <w:pageBreakBefore w:val="0"/>
        <w:overflowPunct/>
        <w:topLinePunct w:val="0"/>
        <w:bidi w:val="0"/>
        <w:spacing w:beforeAutospacing="0" w:afterAutospacing="0" w:line="360" w:lineRule="auto"/>
        <w:ind w:left="0" w:leftChars="0" w:right="0" w:firstLine="480" w:firstLineChars="200"/>
        <w:outlineLvl w:val="1"/>
        <w:rPr>
          <w:rFonts w:hint="eastAsia" w:ascii="微软雅黑" w:hAnsi="微软雅黑" w:eastAsia="微软雅黑" w:cs="微软雅黑"/>
          <w:b/>
          <w:bCs/>
          <w:color w:val="auto"/>
          <w:sz w:val="24"/>
          <w:szCs w:val="24"/>
        </w:rPr>
      </w:pPr>
      <w:bookmarkStart w:id="0" w:name="_Toc256000044"/>
      <w:bookmarkStart w:id="1" w:name="_Toc6201"/>
      <w:r>
        <w:rPr>
          <w:rFonts w:hint="eastAsia" w:ascii="微软雅黑" w:hAnsi="微软雅黑" w:eastAsia="微软雅黑" w:cs="微软雅黑"/>
          <w:b/>
          <w:bCs/>
          <w:color w:val="auto"/>
          <w:sz w:val="24"/>
          <w:szCs w:val="24"/>
        </w:rPr>
        <w:t>（一）馆藏古籍善本数字化加工</w:t>
      </w:r>
      <w:bookmarkEnd w:id="0"/>
      <w:bookmarkEnd w:id="1"/>
    </w:p>
    <w:p w14:paraId="18B833DA">
      <w:pPr>
        <w:pStyle w:val="7"/>
        <w:keepNext w:val="0"/>
        <w:keepLines w:val="0"/>
        <w:pageBreakBefore w:val="0"/>
        <w:overflowPunct/>
        <w:topLinePunct w:val="0"/>
        <w:bidi w:val="0"/>
        <w:spacing w:beforeAutospacing="0" w:afterAutospacing="0" w:line="360" w:lineRule="auto"/>
        <w:ind w:left="0" w:leftChars="0" w:right="0" w:firstLine="480" w:firstLineChars="200"/>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总体要求：古籍数字化加工内容包括古籍数字化采集、古籍图像处理、文献整理登记、古籍元数据著录、标引、古籍OCR识别等。图像采集参数、图像文件质量、元数据著录、文件存储及命名等须按照《全国智慧图书馆体系建设：古籍数字化和知识标引规范手册（暂行）》为标准执行。如出现本采购项目要求高于《全国智慧图书馆体系建设：古籍数字化和知识标引规范手册（暂行）》所规定的参数标准，则以本项目采购需求为准。</w:t>
      </w:r>
    </w:p>
    <w:p w14:paraId="6DA9E25F">
      <w:pPr>
        <w:pStyle w:val="7"/>
        <w:keepNext w:val="0"/>
        <w:keepLines w:val="0"/>
        <w:pageBreakBefore w:val="0"/>
        <w:overflowPunct/>
        <w:topLinePunct w:val="0"/>
        <w:bidi w:val="0"/>
        <w:spacing w:beforeAutospacing="0" w:afterAutospacing="0" w:line="360" w:lineRule="auto"/>
        <w:ind w:left="0" w:leftChars="0" w:right="0"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本项目须全程驻场实施，所有服务均需在指定场所内完成，具体涵盖古籍资源数字化全流程加工服务，包括但不限于数字化扫描、图片处理、OCR文字识别、著录标引及数据上传发布等环节。严禁将项目涉及的古籍原件、扫描数据、加工成果及相关资料带离指定场所，严禁未经授权的人员参与操作或接触相关资源，严禁以任何形式泄露、复制、传播加工过程中涉及的古籍内容及数据信息。</w:t>
      </w:r>
    </w:p>
    <w:p w14:paraId="295E4ED9">
      <w:pPr>
        <w:pStyle w:val="7"/>
        <w:keepNext w:val="0"/>
        <w:keepLines w:val="0"/>
        <w:pageBreakBefore w:val="0"/>
        <w:overflowPunct/>
        <w:topLinePunct w:val="0"/>
        <w:bidi w:val="0"/>
        <w:spacing w:beforeAutospacing="0" w:afterAutospacing="0" w:line="360" w:lineRule="auto"/>
        <w:ind w:left="0" w:leftChars="0" w:right="0" w:firstLine="480" w:firstLineChars="200"/>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具体要求如下：</w:t>
      </w:r>
    </w:p>
    <w:tbl>
      <w:tblPr>
        <w:tblStyle w:val="4"/>
        <w:tblW w:w="902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50"/>
        <w:gridCol w:w="7179"/>
      </w:tblGrid>
      <w:tr w14:paraId="043D0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91" w:type="dxa"/>
            <w:vAlign w:val="center"/>
          </w:tcPr>
          <w:p w14:paraId="2203A9E2">
            <w:pPr>
              <w:pStyle w:val="7"/>
              <w:keepNext w:val="0"/>
              <w:keepLines w:val="0"/>
              <w:pageBreakBefore w:val="0"/>
              <w:overflowPunct/>
              <w:topLinePunct w:val="0"/>
              <w:bidi w:val="0"/>
              <w:adjustRightInd w:val="0"/>
              <w:snapToGrid w:val="0"/>
              <w:spacing w:beforeAutospacing="0" w:afterAutospacing="0" w:line="360" w:lineRule="exact"/>
              <w:ind w:right="0"/>
              <w:jc w:val="both"/>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序号</w:t>
            </w:r>
          </w:p>
        </w:tc>
        <w:tc>
          <w:tcPr>
            <w:tcW w:w="1150" w:type="dxa"/>
            <w:vAlign w:val="center"/>
          </w:tcPr>
          <w:p w14:paraId="5C77D743">
            <w:pPr>
              <w:pStyle w:val="7"/>
              <w:keepNext w:val="0"/>
              <w:keepLines w:val="0"/>
              <w:pageBreakBefore w:val="0"/>
              <w:overflowPunct/>
              <w:topLinePunct w:val="0"/>
              <w:bidi w:val="0"/>
              <w:adjustRightInd w:val="0"/>
              <w:snapToGrid w:val="0"/>
              <w:spacing w:beforeAutospacing="0" w:afterAutospacing="0" w:line="360" w:lineRule="exact"/>
              <w:ind w:right="0"/>
              <w:jc w:val="both"/>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项目</w:t>
            </w:r>
          </w:p>
          <w:p w14:paraId="01990EC9">
            <w:pPr>
              <w:pStyle w:val="7"/>
              <w:keepNext w:val="0"/>
              <w:keepLines w:val="0"/>
              <w:pageBreakBefore w:val="0"/>
              <w:overflowPunct/>
              <w:topLinePunct w:val="0"/>
              <w:bidi w:val="0"/>
              <w:adjustRightInd w:val="0"/>
              <w:snapToGrid w:val="0"/>
              <w:spacing w:beforeAutospacing="0" w:afterAutospacing="0" w:line="360" w:lineRule="exact"/>
              <w:ind w:right="0"/>
              <w:jc w:val="both"/>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名称</w:t>
            </w:r>
          </w:p>
        </w:tc>
        <w:tc>
          <w:tcPr>
            <w:tcW w:w="7179" w:type="dxa"/>
            <w:vAlign w:val="center"/>
          </w:tcPr>
          <w:p w14:paraId="67D8D3AA">
            <w:pPr>
              <w:pStyle w:val="7"/>
              <w:keepNext w:val="0"/>
              <w:keepLines w:val="0"/>
              <w:pageBreakBefore w:val="0"/>
              <w:overflowPunct/>
              <w:topLinePunct w:val="0"/>
              <w:bidi w:val="0"/>
              <w:adjustRightInd w:val="0"/>
              <w:snapToGrid w:val="0"/>
              <w:spacing w:beforeAutospacing="0" w:afterAutospacing="0" w:line="360" w:lineRule="exact"/>
              <w:ind w:left="0" w:leftChars="0" w:right="0" w:firstLine="480" w:firstLineChars="200"/>
              <w:jc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建设内容及要求</w:t>
            </w:r>
          </w:p>
        </w:tc>
      </w:tr>
      <w:tr w14:paraId="02429C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14:paraId="3412E973">
            <w:pPr>
              <w:pStyle w:val="7"/>
              <w:keepNext w:val="0"/>
              <w:keepLines w:val="0"/>
              <w:pageBreakBefore w:val="0"/>
              <w:overflowPunct/>
              <w:topLinePunct w:val="0"/>
              <w:bidi w:val="0"/>
              <w:spacing w:beforeAutospacing="0" w:afterAutospacing="0"/>
              <w:ind w:left="0" w:leftChars="0" w:right="0" w:firstLine="480" w:firstLineChars="20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w:t>
            </w:r>
          </w:p>
        </w:tc>
        <w:tc>
          <w:tcPr>
            <w:tcW w:w="1150" w:type="dxa"/>
            <w:vAlign w:val="center"/>
          </w:tcPr>
          <w:p w14:paraId="5492B1EC">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古籍数字化加工准备</w:t>
            </w:r>
          </w:p>
        </w:tc>
        <w:tc>
          <w:tcPr>
            <w:tcW w:w="7179" w:type="dxa"/>
          </w:tcPr>
          <w:p w14:paraId="1AC0A013">
            <w:pPr>
              <w:pStyle w:val="7"/>
              <w:keepNext w:val="0"/>
              <w:keepLines w:val="0"/>
              <w:pageBreakBefore w:val="0"/>
              <w:widowControl/>
              <w:overflowPunct/>
              <w:topLinePunct w:val="0"/>
              <w:bidi w:val="0"/>
              <w:spacing w:beforeAutospacing="0" w:afterAutospacing="0" w:line="360" w:lineRule="exact"/>
              <w:ind w:left="0" w:leftChars="0" w:right="0" w:firstLine="480" w:firstLineChars="200"/>
              <w:jc w:val="left"/>
              <w:textAlignment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1.1古籍藏品出库清点</w:t>
            </w:r>
          </w:p>
          <w:p w14:paraId="6AC9BD9C">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古籍藏品出库后，要进行初步检查。中标人按照古籍库房的规定办理出库手续，在工作人员（保管人员、安保人员、项目负责人员）的监护下送至工作场地暂存，古籍在未回到库房前，工作场地至少要有三名人员在场，其中包含中标人及工作人员，以确保古籍安全。古籍藏品的存放地点、环境温湿度等应符合文物保护的要求。中标人应认真阅读随书提交的出库工作单，对照工作单核对题名、部次、册数，对工作单中标注的缺叶、错叶、重叶以及其他提示要逐一核查并记录。</w:t>
            </w:r>
          </w:p>
          <w:p w14:paraId="587BF92A">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1.2书况检查与登记</w:t>
            </w:r>
          </w:p>
          <w:p w14:paraId="2712A4E3">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书况检查时，应详细记录古籍状况，并结合古籍的版本、版式、装帧形式、中缝宽度、透字等情况，确定古籍数字化加工方式，选择适宜的数字化设备。在书况检查过程中要完全按书叶原貌统计总叶数，并记录古籍的缺叶、漏叶、错叶、重叶、空白叶等情况，注明是否需要补配、去重、变更叶码顺序等，登记扫描叶数，形成较为完整的书况检查记录。书况检查记录将作为数字化加工、质检、标引等后续环节的参考和依据。</w:t>
            </w:r>
          </w:p>
          <w:p w14:paraId="114C7022">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1.3破损与修复</w:t>
            </w:r>
          </w:p>
          <w:p w14:paraId="3C768FC2">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1.3.1 在古籍加工过程中，若发生古籍破损情况，中标人须在发现后立即（最迟不超过30分钟内）向采购人指定负责人报告，详细说明破损部位、程度及可能原因，由采购人根据实际情况确定具体处理方式。</w:t>
            </w:r>
          </w:p>
          <w:p w14:paraId="2B75E34A">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1.3.2 若经采购人确认需要修复，中标人须委托经采购人书面认可、具备古籍修复专业资质（需提供相关资质证明文件）的机构或人员实施修复，修复方案须事先报采购人审核同意。修复所产生的全部费用（包括材料费、人工费等）已包含在合同约定的加工费中，由中标人承担。修复完成后，须由采购人组织专业人员按照古籍修复质量标准进行验收，验收合格后方可继续后续加工。</w:t>
            </w:r>
          </w:p>
          <w:p w14:paraId="649D513E">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1.3.3 若破损古籍经采购人确认已无修复价值，双方应就赔偿事宜进行协商，协商结果需形成书面协议；协商不成的，按合同约定的赔偿条款执行，中标人须承担相应的赔偿责任。</w:t>
            </w:r>
          </w:p>
        </w:tc>
      </w:tr>
      <w:tr w14:paraId="55B12F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691" w:type="dxa"/>
            <w:vAlign w:val="center"/>
          </w:tcPr>
          <w:p w14:paraId="50817AEE">
            <w:pPr>
              <w:pStyle w:val="7"/>
              <w:keepNext w:val="0"/>
              <w:keepLines w:val="0"/>
              <w:pageBreakBefore w:val="0"/>
              <w:overflowPunct/>
              <w:topLinePunct w:val="0"/>
              <w:bidi w:val="0"/>
              <w:spacing w:beforeAutospacing="0" w:afterAutospacing="0"/>
              <w:ind w:left="0" w:leftChars="0" w:right="0" w:firstLine="480" w:firstLineChars="20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w:t>
            </w:r>
          </w:p>
        </w:tc>
        <w:tc>
          <w:tcPr>
            <w:tcW w:w="1150" w:type="dxa"/>
            <w:vAlign w:val="center"/>
          </w:tcPr>
          <w:p w14:paraId="1255CD64">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古籍图像数字化采集要求</w:t>
            </w:r>
          </w:p>
        </w:tc>
        <w:tc>
          <w:tcPr>
            <w:tcW w:w="7179" w:type="dxa"/>
          </w:tcPr>
          <w:p w14:paraId="00B5200B">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2.1古籍页面划分</w:t>
            </w:r>
          </w:p>
          <w:p w14:paraId="3F9AE7A4">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以线装书为例，古籍页面可划分为筒子叶、半叶、双半叶等。古籍数字化采集时应根据古籍图书的装帧、版面等实际情况，选择叶面类型进行扫描。</w:t>
            </w:r>
          </w:p>
          <w:p w14:paraId="34B54769">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一部古籍图书除封面和封底外，同一部古籍图像采集的页面类型应保持一致。</w:t>
            </w:r>
          </w:p>
          <w:p w14:paraId="29815B5E">
            <w:pPr>
              <w:pStyle w:val="7"/>
              <w:keepNext w:val="0"/>
              <w:keepLines w:val="0"/>
              <w:pageBreakBefore w:val="0"/>
              <w:overflowPunct/>
              <w:topLinePunct w:val="0"/>
              <w:bidi w:val="0"/>
              <w:spacing w:beforeAutospacing="0" w:afterAutospacing="0"/>
              <w:ind w:left="0" w:leftChars="0" w:right="0" w:firstLine="480" w:firstLineChars="200"/>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sz w:val="24"/>
                <w:szCs w:val="24"/>
              </w:rPr>
              <w:drawing>
                <wp:inline distT="0" distB="0" distL="114300" distR="114300">
                  <wp:extent cx="4444365" cy="1915160"/>
                  <wp:effectExtent l="0" t="0" r="63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444365" cy="1915160"/>
                          </a:xfrm>
                          <a:prstGeom prst="rect">
                            <a:avLst/>
                          </a:prstGeom>
                          <a:noFill/>
                          <a:ln>
                            <a:noFill/>
                          </a:ln>
                        </pic:spPr>
                      </pic:pic>
                    </a:graphicData>
                  </a:graphic>
                </wp:inline>
              </w:drawing>
            </w:r>
          </w:p>
          <w:p w14:paraId="629ADEEB">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b/>
                <w:bCs/>
                <w:color w:val="auto"/>
                <w:kern w:val="0"/>
                <w:sz w:val="24"/>
                <w:szCs w:val="24"/>
                <w:lang w:bidi="ar"/>
              </w:rPr>
            </w:pPr>
            <w:r>
              <w:rPr>
                <w:rFonts w:hint="eastAsia" w:ascii="微软雅黑" w:hAnsi="微软雅黑" w:eastAsia="微软雅黑" w:cs="微软雅黑"/>
                <w:b/>
                <w:bCs/>
                <w:color w:val="auto"/>
                <w:kern w:val="0"/>
                <w:sz w:val="24"/>
                <w:szCs w:val="24"/>
                <w:lang w:bidi="ar"/>
              </w:rPr>
              <w:t xml:space="preserve">2.2数字图像采集要求 </w:t>
            </w:r>
          </w:p>
          <w:p w14:paraId="6A66B8EE">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 xml:space="preserve">2.2.1采集环境 </w:t>
            </w:r>
          </w:p>
          <w:p w14:paraId="01D18152">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kern w:val="0"/>
                <w:sz w:val="24"/>
                <w:szCs w:val="24"/>
                <w:lang w:bidi="ar"/>
              </w:rPr>
              <w:t>针对古籍数字化采集加工的实际需求，按照国家对古籍保存环境的温湿度要求、空气净化要求、光照和防紫外线要求，其中</w:t>
            </w:r>
            <w:r>
              <w:rPr>
                <w:rFonts w:hint="eastAsia" w:ascii="微软雅黑" w:hAnsi="微软雅黑" w:eastAsia="微软雅黑" w:cs="微软雅黑"/>
                <w:color w:val="auto"/>
                <w:sz w:val="24"/>
                <w:szCs w:val="24"/>
              </w:rPr>
              <w:t>温度：16℃～22℃；相对湿度：45%～60%。照明光源的紫外线含量应小于 75w/lm。</w:t>
            </w:r>
          </w:p>
          <w:p w14:paraId="5D5AC7C2">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2.2.2 采集要求</w:t>
            </w:r>
          </w:p>
          <w:p w14:paraId="7EAE3451">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古籍原件扫描时严禁拆书，扫描过程中不能对文献原件造成二次损伤。</w:t>
            </w:r>
          </w:p>
          <w:p w14:paraId="7C1A0C45">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扫描设备须为高清非接触式扫描仪，无紫外线同步冷光源，光学分辨率不低于600dpi，CCD感光元件不低于5000像素点，且色彩位数不低于24bit。</w:t>
            </w:r>
          </w:p>
          <w:p w14:paraId="0E55B538">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b/>
                <w:bCs/>
                <w:color w:val="auto"/>
                <w:kern w:val="0"/>
                <w:sz w:val="24"/>
                <w:szCs w:val="24"/>
                <w:lang w:bidi="ar"/>
              </w:rPr>
            </w:pPr>
            <w:r>
              <w:rPr>
                <w:rFonts w:hint="eastAsia" w:ascii="微软雅黑" w:hAnsi="微软雅黑" w:eastAsia="微软雅黑" w:cs="微软雅黑"/>
                <w:b/>
                <w:bCs/>
                <w:color w:val="auto"/>
                <w:kern w:val="0"/>
                <w:sz w:val="24"/>
                <w:szCs w:val="24"/>
                <w:lang w:bidi="ar"/>
              </w:rPr>
              <w:t xml:space="preserve">2.2.3色卡与标尺管理 </w:t>
            </w:r>
          </w:p>
          <w:p w14:paraId="0915EC74">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4"/>
                <w:szCs w:val="24"/>
                <w:lang w:bidi="ar"/>
              </w:rPr>
              <w:t xml:space="preserve">采用IT8标准色彩导表（以下简称色卡）。色卡尺寸不宜过大，以能与古籍拍摄或扫描在同一个画面当中为宜。 </w:t>
            </w:r>
          </w:p>
          <w:p w14:paraId="291CE014">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kern w:val="0"/>
                <w:sz w:val="24"/>
                <w:szCs w:val="24"/>
                <w:lang w:bidi="ar"/>
              </w:rPr>
              <w:t xml:space="preserve">色卡（含标尺）应与每册古籍封面一同拍摄或扫描。色卡位置与古籍左侧书角对齐，距离封面左侧0.1～1厘米位置。如果色卡不含标尺，可以使用矩形直角尺作为标尺，标尺应表面平整、无变形，刻度清晰可读，不应有锈蚀、划伤、崩刃等缺陷，标尺的材质应避免接触光源后产生透光或反射光。拍摄或扫描时标尺应放置在距离封面上侧0.1厘米～1厘米，以尺端“0”刻度线作为测量基准，保持尺端与尺边垂直，不要歪斜。 </w:t>
            </w:r>
          </w:p>
          <w:p w14:paraId="53CD331C">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b/>
                <w:bCs/>
                <w:color w:val="auto"/>
                <w:kern w:val="0"/>
                <w:sz w:val="24"/>
                <w:szCs w:val="24"/>
                <w:lang w:bidi="ar"/>
              </w:rPr>
            </w:pPr>
            <w:r>
              <w:rPr>
                <w:rFonts w:hint="eastAsia" w:ascii="微软雅黑" w:hAnsi="微软雅黑" w:eastAsia="微软雅黑" w:cs="微软雅黑"/>
                <w:b/>
                <w:bCs/>
                <w:color w:val="auto"/>
                <w:kern w:val="0"/>
                <w:sz w:val="24"/>
                <w:szCs w:val="24"/>
                <w:lang w:bidi="ar"/>
              </w:rPr>
              <w:t xml:space="preserve">2.3色彩管理  </w:t>
            </w:r>
          </w:p>
          <w:p w14:paraId="022E9CD5">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kern w:val="0"/>
                <w:sz w:val="24"/>
                <w:szCs w:val="24"/>
                <w:lang w:bidi="ar"/>
              </w:rPr>
              <w:t xml:space="preserve">色彩管理工作包括扫描设备的色彩校准工作、色彩空间选择、设备参数设置、数字化操作流程标准化，以及后期处理软件中的色彩管理、色彩校正、输出色彩转换等工作。此外，应定期评估和审查数字化流程中的色彩管理效果，根据实际情况进行优化和改进。通过对比扫描图像与古籍实物的色彩表现，找出色彩偏差的原因，并采取相应措施进行调整。 </w:t>
            </w:r>
          </w:p>
          <w:p w14:paraId="51433AD2">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b/>
                <w:bCs/>
                <w:color w:val="auto"/>
                <w:kern w:val="0"/>
                <w:sz w:val="24"/>
                <w:szCs w:val="24"/>
                <w:lang w:bidi="ar"/>
              </w:rPr>
            </w:pPr>
            <w:r>
              <w:rPr>
                <w:rFonts w:hint="eastAsia" w:ascii="微软雅黑" w:hAnsi="微软雅黑" w:eastAsia="微软雅黑" w:cs="微软雅黑"/>
                <w:b/>
                <w:bCs/>
                <w:color w:val="auto"/>
                <w:kern w:val="0"/>
                <w:sz w:val="24"/>
                <w:szCs w:val="24"/>
                <w:lang w:bidi="ar"/>
              </w:rPr>
              <w:t xml:space="preserve">2.4图像采集 </w:t>
            </w:r>
          </w:p>
          <w:p w14:paraId="1B3460E9">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2.4.1 采集图像清晰，数据文件叶码连续，没有重叶、缺叶，错叶、折叶等情况（原书缺叶、错叶除外）。补扫缺叶图像要与同册图像文件的大小尺寸一致，颜色接近。 </w:t>
            </w:r>
          </w:p>
          <w:p w14:paraId="43769439">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2.4.2 按1:1比例扫描，图书叶面外围要求留白，宽度不超过1厘米；书叶 间距不超过0.1厘米。 </w:t>
            </w:r>
          </w:p>
          <w:p w14:paraId="372136C9">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2.4.3 以原书的上边沿为基准，以中缝为中心线，保持原文献的天头、地脚的尺寸不变，左右两边的尺寸基本不变。图像倾斜角度不大于0.2度。 </w:t>
            </w:r>
          </w:p>
          <w:p w14:paraId="103F7BF6">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2.4.4 原件表面有其他粘贴物件时，先将原件与粘贴物（即粘贴物覆盖于文献）一起扫描，然后将粘贴物掀开，再次扫描原件。 </w:t>
            </w:r>
          </w:p>
          <w:p w14:paraId="6E835605">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2.4.5 古籍整理完毕后，需根据古籍实际透字状态确定有无必要添加衬纸。必须注意的是，加垫衬纸不应对古籍造成损坏。加垫衬纸前应先评估图书纸张厚度、纸张强度、折叶空隙等情况，选择适宜的衬纸。衬纸应保持整洁，出现污渍、褶皱时要及时更换。 </w:t>
            </w:r>
          </w:p>
          <w:p w14:paraId="3F87ECDC">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2.4.6 原件超大幅面（如地图）分画幅扫描时，各扫描区域边缘必须留有2厘米（含）以上的重复扫描区。 </w:t>
            </w:r>
          </w:p>
          <w:p w14:paraId="5C969541">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2.4.7 采集图像完整清晰，无扭曲、变形现象发生。数字图像文件用图形图 像类软件检查清晰度（图像放大至实际尺寸100%），确保图像不失真。 </w:t>
            </w:r>
          </w:p>
          <w:p w14:paraId="17E8B695">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2.4.8 定时做采集设备和输出设备的色彩校正。工作过程中，当数字图像文 件与古籍原件颜色不一致时，应及时进行色彩校正，重新完成图像采集工作。</w:t>
            </w:r>
          </w:p>
        </w:tc>
      </w:tr>
      <w:tr w14:paraId="62B532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691" w:type="dxa"/>
            <w:vAlign w:val="center"/>
          </w:tcPr>
          <w:p w14:paraId="0966ACB0">
            <w:pPr>
              <w:pStyle w:val="7"/>
              <w:keepNext w:val="0"/>
              <w:keepLines w:val="0"/>
              <w:pageBreakBefore w:val="0"/>
              <w:overflowPunct/>
              <w:topLinePunct w:val="0"/>
              <w:bidi w:val="0"/>
              <w:spacing w:beforeAutospacing="0" w:afterAutospacing="0"/>
              <w:ind w:left="0" w:leftChars="0" w:right="0" w:firstLine="480" w:firstLineChars="20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w:t>
            </w:r>
          </w:p>
        </w:tc>
        <w:tc>
          <w:tcPr>
            <w:tcW w:w="1150" w:type="dxa"/>
            <w:vAlign w:val="center"/>
          </w:tcPr>
          <w:p w14:paraId="42FBA0CC">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数字图像处理要求</w:t>
            </w:r>
          </w:p>
        </w:tc>
        <w:tc>
          <w:tcPr>
            <w:tcW w:w="7179" w:type="dxa"/>
          </w:tcPr>
          <w:p w14:paraId="4A54892D">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3.1长期保存级（A）处理内容及要求</w:t>
            </w:r>
          </w:p>
          <w:tbl>
            <w:tblPr>
              <w:tblStyle w:val="4"/>
              <w:tblpPr w:leftFromText="180" w:rightFromText="180" w:vertAnchor="text" w:horzAnchor="page" w:tblpX="96" w:tblpY="2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150"/>
              <w:gridCol w:w="846"/>
              <w:gridCol w:w="825"/>
              <w:gridCol w:w="680"/>
              <w:gridCol w:w="914"/>
              <w:gridCol w:w="640"/>
              <w:gridCol w:w="1100"/>
            </w:tblGrid>
            <w:tr w14:paraId="2F09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restart"/>
                  <w:tcBorders>
                    <w:top w:val="single" w:color="auto" w:sz="4" w:space="0"/>
                    <w:left w:val="single" w:color="auto" w:sz="4" w:space="0"/>
                    <w:bottom w:val="single" w:color="auto" w:sz="4" w:space="0"/>
                    <w:right w:val="single" w:color="auto" w:sz="4" w:space="0"/>
                  </w:tcBorders>
                  <w:vAlign w:val="center"/>
                </w:tcPr>
                <w:p w14:paraId="281F5FBC">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资源级别</w:t>
                  </w:r>
                </w:p>
              </w:tc>
              <w:tc>
                <w:tcPr>
                  <w:tcW w:w="1150" w:type="dxa"/>
                  <w:vMerge w:val="restart"/>
                  <w:tcBorders>
                    <w:top w:val="single" w:color="auto" w:sz="4" w:space="0"/>
                    <w:left w:val="single" w:color="auto" w:sz="4" w:space="0"/>
                    <w:bottom w:val="single" w:color="auto" w:sz="4" w:space="0"/>
                    <w:right w:val="single" w:color="auto" w:sz="4" w:space="0"/>
                  </w:tcBorders>
                  <w:vAlign w:val="center"/>
                </w:tcPr>
                <w:p w14:paraId="56A887B6">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载体规格</w:t>
                  </w:r>
                </w:p>
              </w:tc>
              <w:tc>
                <w:tcPr>
                  <w:tcW w:w="3905" w:type="dxa"/>
                  <w:gridSpan w:val="5"/>
                  <w:tcBorders>
                    <w:top w:val="single" w:color="auto" w:sz="4" w:space="0"/>
                    <w:left w:val="single" w:color="auto" w:sz="4" w:space="0"/>
                    <w:bottom w:val="single" w:color="auto" w:sz="4" w:space="0"/>
                    <w:right w:val="single" w:color="auto" w:sz="4" w:space="0"/>
                  </w:tcBorders>
                  <w:vAlign w:val="center"/>
                </w:tcPr>
                <w:p w14:paraId="1A6B37D9">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主要参数</w:t>
                  </w:r>
                </w:p>
              </w:tc>
              <w:tc>
                <w:tcPr>
                  <w:tcW w:w="1100" w:type="dxa"/>
                  <w:vMerge w:val="restart"/>
                  <w:tcBorders>
                    <w:top w:val="single" w:color="auto" w:sz="4" w:space="0"/>
                    <w:left w:val="single" w:color="auto" w:sz="4" w:space="0"/>
                    <w:bottom w:val="single" w:color="auto" w:sz="4" w:space="0"/>
                    <w:right w:val="single" w:color="auto" w:sz="4" w:space="0"/>
                  </w:tcBorders>
                </w:tcPr>
                <w:p w14:paraId="1E4A346F">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p w14:paraId="1FCA4D6F">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说明</w:t>
                  </w:r>
                </w:p>
              </w:tc>
            </w:tr>
            <w:tr w14:paraId="73E7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tcBorders>
                    <w:top w:val="single" w:color="auto" w:sz="4" w:space="0"/>
                    <w:left w:val="single" w:color="auto" w:sz="4" w:space="0"/>
                    <w:bottom w:val="single" w:color="auto" w:sz="4" w:space="0"/>
                    <w:right w:val="single" w:color="auto" w:sz="4" w:space="0"/>
                  </w:tcBorders>
                  <w:vAlign w:val="center"/>
                </w:tcPr>
                <w:p w14:paraId="154BA730">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14:paraId="125999BB">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tc>
              <w:tc>
                <w:tcPr>
                  <w:tcW w:w="846" w:type="dxa"/>
                  <w:tcBorders>
                    <w:top w:val="single" w:color="auto" w:sz="4" w:space="0"/>
                    <w:left w:val="single" w:color="auto" w:sz="4" w:space="0"/>
                    <w:bottom w:val="single" w:color="auto" w:sz="4" w:space="0"/>
                    <w:right w:val="single" w:color="auto" w:sz="4" w:space="0"/>
                  </w:tcBorders>
                  <w:vAlign w:val="center"/>
                </w:tcPr>
                <w:p w14:paraId="126B64BE">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分辨率</w:t>
                  </w:r>
                </w:p>
              </w:tc>
              <w:tc>
                <w:tcPr>
                  <w:tcW w:w="825" w:type="dxa"/>
                  <w:tcBorders>
                    <w:top w:val="single" w:color="auto" w:sz="4" w:space="0"/>
                    <w:left w:val="single" w:color="auto" w:sz="4" w:space="0"/>
                    <w:bottom w:val="single" w:color="auto" w:sz="4" w:space="0"/>
                    <w:right w:val="single" w:color="auto" w:sz="4" w:space="0"/>
                  </w:tcBorders>
                  <w:vAlign w:val="center"/>
                </w:tcPr>
                <w:p w14:paraId="3D047D47">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色彩</w:t>
                  </w:r>
                </w:p>
                <w:p w14:paraId="7046E5BB">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位深</w:t>
                  </w:r>
                </w:p>
              </w:tc>
              <w:tc>
                <w:tcPr>
                  <w:tcW w:w="680" w:type="dxa"/>
                  <w:tcBorders>
                    <w:top w:val="single" w:color="auto" w:sz="4" w:space="0"/>
                    <w:left w:val="single" w:color="auto" w:sz="4" w:space="0"/>
                    <w:bottom w:val="single" w:color="auto" w:sz="4" w:space="0"/>
                    <w:right w:val="single" w:color="auto" w:sz="4" w:space="0"/>
                  </w:tcBorders>
                  <w:vAlign w:val="center"/>
                </w:tcPr>
                <w:p w14:paraId="6AE82813">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格式</w:t>
                  </w:r>
                </w:p>
              </w:tc>
              <w:tc>
                <w:tcPr>
                  <w:tcW w:w="914" w:type="dxa"/>
                  <w:tcBorders>
                    <w:top w:val="single" w:color="auto" w:sz="4" w:space="0"/>
                    <w:left w:val="single" w:color="auto" w:sz="4" w:space="0"/>
                    <w:bottom w:val="single" w:color="auto" w:sz="4" w:space="0"/>
                    <w:right w:val="single" w:color="auto" w:sz="4" w:space="0"/>
                  </w:tcBorders>
                  <w:vAlign w:val="center"/>
                </w:tcPr>
                <w:p w14:paraId="67564587">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短边</w:t>
                  </w:r>
                </w:p>
                <w:p w14:paraId="73B64A25">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像素</w:t>
                  </w:r>
                </w:p>
              </w:tc>
              <w:tc>
                <w:tcPr>
                  <w:tcW w:w="640" w:type="dxa"/>
                  <w:tcBorders>
                    <w:top w:val="single" w:color="auto" w:sz="4" w:space="0"/>
                    <w:left w:val="single" w:color="auto" w:sz="4" w:space="0"/>
                    <w:bottom w:val="single" w:color="auto" w:sz="4" w:space="0"/>
                    <w:right w:val="single" w:color="auto" w:sz="4" w:space="0"/>
                  </w:tcBorders>
                  <w:vAlign w:val="center"/>
                </w:tcPr>
                <w:p w14:paraId="3347622E">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色调再现</w:t>
                  </w:r>
                </w:p>
              </w:tc>
              <w:tc>
                <w:tcPr>
                  <w:tcW w:w="1100" w:type="dxa"/>
                  <w:vMerge w:val="continue"/>
                  <w:tcBorders>
                    <w:top w:val="single" w:color="auto" w:sz="4" w:space="0"/>
                    <w:left w:val="single" w:color="auto" w:sz="4" w:space="0"/>
                    <w:bottom w:val="single" w:color="auto" w:sz="4" w:space="0"/>
                    <w:right w:val="single" w:color="auto" w:sz="4" w:space="0"/>
                  </w:tcBorders>
                </w:tcPr>
                <w:p w14:paraId="548E588D">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tc>
            </w:tr>
            <w:tr w14:paraId="0A7D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restart"/>
                  <w:tcBorders>
                    <w:top w:val="single" w:color="auto" w:sz="4" w:space="0"/>
                    <w:left w:val="single" w:color="auto" w:sz="4" w:space="0"/>
                    <w:bottom w:val="single" w:color="auto" w:sz="4" w:space="0"/>
                    <w:right w:val="single" w:color="auto" w:sz="4" w:space="0"/>
                  </w:tcBorders>
                  <w:vAlign w:val="center"/>
                </w:tcPr>
                <w:p w14:paraId="4A5A1E6E">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长期保存级（A）</w:t>
                  </w:r>
                </w:p>
              </w:tc>
              <w:tc>
                <w:tcPr>
                  <w:tcW w:w="1150" w:type="dxa"/>
                  <w:tcBorders>
                    <w:top w:val="single" w:color="auto" w:sz="4" w:space="0"/>
                    <w:left w:val="single" w:color="auto" w:sz="4" w:space="0"/>
                    <w:bottom w:val="single" w:color="auto" w:sz="4" w:space="0"/>
                    <w:right w:val="single" w:color="auto" w:sz="4" w:space="0"/>
                  </w:tcBorders>
                  <w:vAlign w:val="center"/>
                </w:tcPr>
                <w:p w14:paraId="7E4E34AE">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文献短边≥14.8cm（A5尺寸）</w:t>
                  </w:r>
                </w:p>
              </w:tc>
              <w:tc>
                <w:tcPr>
                  <w:tcW w:w="846" w:type="dxa"/>
                  <w:tcBorders>
                    <w:top w:val="single" w:color="auto" w:sz="4" w:space="0"/>
                    <w:left w:val="single" w:color="auto" w:sz="4" w:space="0"/>
                    <w:bottom w:val="single" w:color="auto" w:sz="4" w:space="0"/>
                    <w:right w:val="single" w:color="auto" w:sz="4" w:space="0"/>
                  </w:tcBorders>
                  <w:vAlign w:val="center"/>
                </w:tcPr>
                <w:p w14:paraId="1947E56F">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800dpi</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14:paraId="76398E4A">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RGB24位以上</w:t>
                  </w:r>
                </w:p>
              </w:tc>
              <w:tc>
                <w:tcPr>
                  <w:tcW w:w="680" w:type="dxa"/>
                  <w:vMerge w:val="restart"/>
                  <w:tcBorders>
                    <w:top w:val="single" w:color="auto" w:sz="4" w:space="0"/>
                    <w:left w:val="single" w:color="auto" w:sz="4" w:space="0"/>
                    <w:bottom w:val="single" w:color="auto" w:sz="4" w:space="0"/>
                    <w:right w:val="single" w:color="auto" w:sz="4" w:space="0"/>
                  </w:tcBorders>
                  <w:vAlign w:val="center"/>
                </w:tcPr>
                <w:p w14:paraId="1914AB37">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TIFF（LZW）</w:t>
                  </w:r>
                </w:p>
              </w:tc>
              <w:tc>
                <w:tcPr>
                  <w:tcW w:w="914" w:type="dxa"/>
                  <w:tcBorders>
                    <w:top w:val="single" w:color="auto" w:sz="4" w:space="0"/>
                    <w:left w:val="single" w:color="auto" w:sz="4" w:space="0"/>
                    <w:bottom w:val="single" w:color="auto" w:sz="4" w:space="0"/>
                    <w:right w:val="single" w:color="auto" w:sz="4" w:space="0"/>
                  </w:tcBorders>
                  <w:vAlign w:val="center"/>
                </w:tcPr>
                <w:p w14:paraId="48F91A0C">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不小于4500</w:t>
                  </w:r>
                </w:p>
              </w:tc>
              <w:tc>
                <w:tcPr>
                  <w:tcW w:w="640" w:type="dxa"/>
                  <w:vMerge w:val="restart"/>
                  <w:tcBorders>
                    <w:top w:val="single" w:color="auto" w:sz="4" w:space="0"/>
                    <w:left w:val="single" w:color="auto" w:sz="4" w:space="0"/>
                    <w:bottom w:val="single" w:color="auto" w:sz="4" w:space="0"/>
                    <w:right w:val="single" w:color="auto" w:sz="4" w:space="0"/>
                  </w:tcBorders>
                  <w:vAlign w:val="center"/>
                </w:tcPr>
                <w:p w14:paraId="176919A0">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ICC配置文件</w:t>
                  </w:r>
                </w:p>
              </w:tc>
              <w:tc>
                <w:tcPr>
                  <w:tcW w:w="1100" w:type="dxa"/>
                  <w:tcBorders>
                    <w:top w:val="single" w:color="auto" w:sz="4" w:space="0"/>
                    <w:left w:val="single" w:color="auto" w:sz="4" w:space="0"/>
                    <w:bottom w:val="single" w:color="auto" w:sz="4" w:space="0"/>
                    <w:right w:val="single" w:color="auto" w:sz="4" w:space="0"/>
                  </w:tcBorders>
                  <w:vAlign w:val="center"/>
                </w:tcPr>
                <w:p w14:paraId="3608CBBE">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文献开本小于A5应提高采集分辨率</w:t>
                  </w:r>
                </w:p>
              </w:tc>
            </w:tr>
            <w:tr w14:paraId="6C0C4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tcBorders>
                    <w:top w:val="single" w:color="auto" w:sz="4" w:space="0"/>
                    <w:left w:val="single" w:color="auto" w:sz="4" w:space="0"/>
                    <w:bottom w:val="single" w:color="auto" w:sz="4" w:space="0"/>
                    <w:right w:val="single" w:color="auto" w:sz="4" w:space="0"/>
                  </w:tcBorders>
                  <w:vAlign w:val="center"/>
                </w:tcPr>
                <w:p w14:paraId="7AD58072">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tc>
              <w:tc>
                <w:tcPr>
                  <w:tcW w:w="1150" w:type="dxa"/>
                  <w:tcBorders>
                    <w:top w:val="single" w:color="auto" w:sz="4" w:space="0"/>
                    <w:left w:val="single" w:color="auto" w:sz="4" w:space="0"/>
                    <w:bottom w:val="single" w:color="auto" w:sz="4" w:space="0"/>
                    <w:right w:val="single" w:color="auto" w:sz="4" w:space="0"/>
                  </w:tcBorders>
                  <w:vAlign w:val="center"/>
                </w:tcPr>
                <w:p w14:paraId="6BAD9158">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文献短边≥21cm（A4尺寸）</w:t>
                  </w:r>
                </w:p>
              </w:tc>
              <w:tc>
                <w:tcPr>
                  <w:tcW w:w="846" w:type="dxa"/>
                  <w:tcBorders>
                    <w:top w:val="single" w:color="auto" w:sz="4" w:space="0"/>
                    <w:left w:val="single" w:color="auto" w:sz="4" w:space="0"/>
                    <w:bottom w:val="single" w:color="auto" w:sz="4" w:space="0"/>
                    <w:right w:val="single" w:color="auto" w:sz="4" w:space="0"/>
                  </w:tcBorders>
                  <w:vAlign w:val="center"/>
                </w:tcPr>
                <w:p w14:paraId="7CADC797">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600dpi</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14:paraId="31CED7FA">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tc>
              <w:tc>
                <w:tcPr>
                  <w:tcW w:w="680" w:type="dxa"/>
                  <w:vMerge w:val="continue"/>
                  <w:tcBorders>
                    <w:top w:val="single" w:color="auto" w:sz="4" w:space="0"/>
                    <w:left w:val="single" w:color="auto" w:sz="4" w:space="0"/>
                    <w:bottom w:val="single" w:color="auto" w:sz="4" w:space="0"/>
                    <w:right w:val="single" w:color="auto" w:sz="4" w:space="0"/>
                  </w:tcBorders>
                  <w:vAlign w:val="center"/>
                </w:tcPr>
                <w:p w14:paraId="67406FDA">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tc>
              <w:tc>
                <w:tcPr>
                  <w:tcW w:w="914" w:type="dxa"/>
                  <w:tcBorders>
                    <w:top w:val="single" w:color="auto" w:sz="4" w:space="0"/>
                    <w:left w:val="single" w:color="auto" w:sz="4" w:space="0"/>
                    <w:bottom w:val="single" w:color="auto" w:sz="4" w:space="0"/>
                    <w:right w:val="single" w:color="auto" w:sz="4" w:space="0"/>
                  </w:tcBorders>
                  <w:vAlign w:val="center"/>
                </w:tcPr>
                <w:p w14:paraId="2E0FFCD3">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不小于4800</w:t>
                  </w:r>
                </w:p>
              </w:tc>
              <w:tc>
                <w:tcPr>
                  <w:tcW w:w="640" w:type="dxa"/>
                  <w:vMerge w:val="continue"/>
                  <w:tcBorders>
                    <w:top w:val="single" w:color="auto" w:sz="4" w:space="0"/>
                    <w:left w:val="single" w:color="auto" w:sz="4" w:space="0"/>
                    <w:bottom w:val="single" w:color="auto" w:sz="4" w:space="0"/>
                    <w:right w:val="single" w:color="auto" w:sz="4" w:space="0"/>
                  </w:tcBorders>
                </w:tcPr>
                <w:p w14:paraId="36630371">
                  <w:pPr>
                    <w:pStyle w:val="7"/>
                    <w:keepNext w:val="0"/>
                    <w:keepLines w:val="0"/>
                    <w:pageBreakBefore w:val="0"/>
                    <w:overflowPunct/>
                    <w:topLinePunct w:val="0"/>
                    <w:bidi w:val="0"/>
                    <w:spacing w:beforeAutospacing="0" w:afterAutospacing="0"/>
                    <w:ind w:left="0" w:leftChars="0" w:right="0" w:firstLine="420" w:firstLineChars="200"/>
                    <w:rPr>
                      <w:rFonts w:hint="eastAsia" w:ascii="微软雅黑" w:hAnsi="微软雅黑" w:eastAsia="微软雅黑" w:cs="微软雅黑"/>
                      <w:color w:val="auto"/>
                      <w:sz w:val="21"/>
                      <w:szCs w:val="21"/>
                    </w:rPr>
                  </w:pPr>
                </w:p>
              </w:tc>
              <w:tc>
                <w:tcPr>
                  <w:tcW w:w="1100" w:type="dxa"/>
                  <w:tcBorders>
                    <w:top w:val="single" w:color="auto" w:sz="4" w:space="0"/>
                    <w:left w:val="single" w:color="auto" w:sz="4" w:space="0"/>
                    <w:bottom w:val="single" w:color="auto" w:sz="4" w:space="0"/>
                    <w:right w:val="single" w:color="auto" w:sz="4" w:space="0"/>
                  </w:tcBorders>
                  <w:vAlign w:val="center"/>
                </w:tcPr>
                <w:p w14:paraId="0F87E942">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文献开本大于A4采集分辨率不变</w:t>
                  </w:r>
                </w:p>
              </w:tc>
            </w:tr>
          </w:tbl>
          <w:p w14:paraId="2F4C5F39">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扫描后的原始图像须逐页检查，进行相应的图像优化处理，确保图像清晰、端正、完整，图像处理应在未改变原扫描图像色彩位数、分辨率、像素、格式等情况下进行。</w:t>
            </w:r>
          </w:p>
          <w:p w14:paraId="1FEDE48D">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3.1.1纠偏处理。对出现偏斜的图像进行纠偏处理，对方向不正确的图像进行旋转还原，使其符合阅读习惯。</w:t>
            </w:r>
          </w:p>
          <w:p w14:paraId="0465BCB5">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3.1.2图像剪裁。只允许处理馆藏国家古籍背景纸与拍摄图书外边缘的空白处。馆藏国家古籍原书与背景纸外边缘距离0.5～1cm。</w:t>
            </w:r>
          </w:p>
          <w:p w14:paraId="4E052A2B">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3.1.3图像拼接。对大幅面文献进行分区扫描形成的多幅图像，服务级文件进行拼接处理，合并为一个完整的图像，以保证数字文件的整体性。</w:t>
            </w:r>
          </w:p>
          <w:p w14:paraId="372F993A">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3.1.4不能进行锐化或者图像增强处理，不能更改图像的颜色，尽量减少对图像文件的后期处理。</w:t>
            </w:r>
          </w:p>
          <w:p w14:paraId="3816053C">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3.2发布服务级（D）处理内容及要求</w:t>
            </w:r>
          </w:p>
          <w:tbl>
            <w:tblPr>
              <w:tblStyle w:val="4"/>
              <w:tblpPr w:leftFromText="180" w:rightFromText="180" w:vertAnchor="text" w:horzAnchor="page" w:tblpX="226" w:tblpY="1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150"/>
              <w:gridCol w:w="665"/>
              <w:gridCol w:w="810"/>
              <w:gridCol w:w="610"/>
              <w:gridCol w:w="830"/>
              <w:gridCol w:w="1990"/>
            </w:tblGrid>
            <w:tr w14:paraId="346F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restart"/>
                  <w:tcBorders>
                    <w:top w:val="single" w:color="auto" w:sz="4" w:space="0"/>
                    <w:left w:val="single" w:color="auto" w:sz="4" w:space="0"/>
                    <w:bottom w:val="single" w:color="auto" w:sz="4" w:space="0"/>
                    <w:right w:val="single" w:color="auto" w:sz="4" w:space="0"/>
                  </w:tcBorders>
                  <w:vAlign w:val="center"/>
                </w:tcPr>
                <w:p w14:paraId="3FD3AD5B">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资源级别</w:t>
                  </w:r>
                </w:p>
              </w:tc>
              <w:tc>
                <w:tcPr>
                  <w:tcW w:w="1150" w:type="dxa"/>
                  <w:vMerge w:val="restart"/>
                  <w:tcBorders>
                    <w:top w:val="single" w:color="auto" w:sz="4" w:space="0"/>
                    <w:left w:val="single" w:color="auto" w:sz="4" w:space="0"/>
                    <w:bottom w:val="single" w:color="auto" w:sz="4" w:space="0"/>
                    <w:right w:val="single" w:color="auto" w:sz="4" w:space="0"/>
                  </w:tcBorders>
                  <w:vAlign w:val="center"/>
                </w:tcPr>
                <w:p w14:paraId="36AE5EBD">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载体规格</w:t>
                  </w:r>
                </w:p>
              </w:tc>
              <w:tc>
                <w:tcPr>
                  <w:tcW w:w="2915" w:type="dxa"/>
                  <w:gridSpan w:val="4"/>
                  <w:tcBorders>
                    <w:top w:val="single" w:color="auto" w:sz="4" w:space="0"/>
                    <w:left w:val="single" w:color="auto" w:sz="4" w:space="0"/>
                    <w:bottom w:val="single" w:color="auto" w:sz="4" w:space="0"/>
                    <w:right w:val="single" w:color="auto" w:sz="4" w:space="0"/>
                  </w:tcBorders>
                  <w:vAlign w:val="center"/>
                </w:tcPr>
                <w:p w14:paraId="5A755AF7">
                  <w:pPr>
                    <w:pStyle w:val="7"/>
                    <w:keepNext w:val="0"/>
                    <w:keepLines w:val="0"/>
                    <w:pageBreakBefore w:val="0"/>
                    <w:overflowPunct/>
                    <w:topLinePunct w:val="0"/>
                    <w:bidi w:val="0"/>
                    <w:spacing w:beforeAutospacing="0" w:afterAutospacing="0"/>
                    <w:ind w:right="0" w:firstLine="630" w:firstLineChars="30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主要参数</w:t>
                  </w:r>
                </w:p>
              </w:tc>
              <w:tc>
                <w:tcPr>
                  <w:tcW w:w="1990" w:type="dxa"/>
                  <w:vMerge w:val="restart"/>
                  <w:tcBorders>
                    <w:top w:val="single" w:color="auto" w:sz="4" w:space="0"/>
                    <w:left w:val="single" w:color="auto" w:sz="4" w:space="0"/>
                    <w:bottom w:val="single" w:color="auto" w:sz="4" w:space="0"/>
                    <w:right w:val="single" w:color="auto" w:sz="4" w:space="0"/>
                  </w:tcBorders>
                  <w:vAlign w:val="center"/>
                </w:tcPr>
                <w:p w14:paraId="632F9B8E">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说明</w:t>
                  </w:r>
                </w:p>
              </w:tc>
            </w:tr>
            <w:tr w14:paraId="1DBBE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tcBorders>
                    <w:top w:val="single" w:color="auto" w:sz="4" w:space="0"/>
                    <w:left w:val="single" w:color="auto" w:sz="4" w:space="0"/>
                    <w:bottom w:val="single" w:color="auto" w:sz="4" w:space="0"/>
                    <w:right w:val="single" w:color="auto" w:sz="4" w:space="0"/>
                  </w:tcBorders>
                  <w:vAlign w:val="center"/>
                </w:tcPr>
                <w:p w14:paraId="371B3F03">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14:paraId="2B4D39E5">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tc>
              <w:tc>
                <w:tcPr>
                  <w:tcW w:w="665" w:type="dxa"/>
                  <w:tcBorders>
                    <w:top w:val="single" w:color="auto" w:sz="4" w:space="0"/>
                    <w:left w:val="single" w:color="auto" w:sz="4" w:space="0"/>
                    <w:bottom w:val="single" w:color="auto" w:sz="4" w:space="0"/>
                    <w:right w:val="single" w:color="auto" w:sz="4" w:space="0"/>
                  </w:tcBorders>
                  <w:vAlign w:val="center"/>
                </w:tcPr>
                <w:p w14:paraId="4CB2DDEF">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分辨率</w:t>
                  </w:r>
                </w:p>
              </w:tc>
              <w:tc>
                <w:tcPr>
                  <w:tcW w:w="810" w:type="dxa"/>
                  <w:tcBorders>
                    <w:top w:val="single" w:color="auto" w:sz="4" w:space="0"/>
                    <w:left w:val="single" w:color="auto" w:sz="4" w:space="0"/>
                    <w:bottom w:val="single" w:color="auto" w:sz="4" w:space="0"/>
                    <w:right w:val="single" w:color="auto" w:sz="4" w:space="0"/>
                  </w:tcBorders>
                  <w:vAlign w:val="center"/>
                </w:tcPr>
                <w:p w14:paraId="04F8E834">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色彩位深</w:t>
                  </w:r>
                </w:p>
              </w:tc>
              <w:tc>
                <w:tcPr>
                  <w:tcW w:w="610" w:type="dxa"/>
                  <w:tcBorders>
                    <w:top w:val="single" w:color="auto" w:sz="4" w:space="0"/>
                    <w:left w:val="single" w:color="auto" w:sz="4" w:space="0"/>
                    <w:bottom w:val="single" w:color="auto" w:sz="4" w:space="0"/>
                    <w:right w:val="single" w:color="auto" w:sz="4" w:space="0"/>
                  </w:tcBorders>
                  <w:vAlign w:val="center"/>
                </w:tcPr>
                <w:p w14:paraId="5BF0C637">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格式</w:t>
                  </w:r>
                </w:p>
              </w:tc>
              <w:tc>
                <w:tcPr>
                  <w:tcW w:w="830" w:type="dxa"/>
                  <w:tcBorders>
                    <w:top w:val="single" w:color="auto" w:sz="4" w:space="0"/>
                    <w:left w:val="single" w:color="auto" w:sz="4" w:space="0"/>
                    <w:bottom w:val="single" w:color="auto" w:sz="4" w:space="0"/>
                    <w:right w:val="single" w:color="auto" w:sz="4" w:space="0"/>
                  </w:tcBorders>
                  <w:vAlign w:val="center"/>
                </w:tcPr>
                <w:p w14:paraId="3EF11614">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文件大小</w:t>
                  </w:r>
                </w:p>
              </w:tc>
              <w:tc>
                <w:tcPr>
                  <w:tcW w:w="1990" w:type="dxa"/>
                  <w:vMerge w:val="continue"/>
                  <w:tcBorders>
                    <w:top w:val="single" w:color="auto" w:sz="4" w:space="0"/>
                    <w:left w:val="single" w:color="auto" w:sz="4" w:space="0"/>
                    <w:bottom w:val="single" w:color="auto" w:sz="4" w:space="0"/>
                    <w:right w:val="single" w:color="auto" w:sz="4" w:space="0"/>
                  </w:tcBorders>
                </w:tcPr>
                <w:p w14:paraId="41E8DEE6">
                  <w:pPr>
                    <w:pStyle w:val="7"/>
                    <w:keepNext w:val="0"/>
                    <w:keepLines w:val="0"/>
                    <w:pageBreakBefore w:val="0"/>
                    <w:overflowPunct/>
                    <w:topLinePunct w:val="0"/>
                    <w:bidi w:val="0"/>
                    <w:spacing w:beforeAutospacing="0" w:afterAutospacing="0"/>
                    <w:ind w:left="0" w:leftChars="0" w:right="0" w:firstLine="420" w:firstLineChars="200"/>
                    <w:jc w:val="center"/>
                    <w:rPr>
                      <w:rFonts w:hint="eastAsia" w:ascii="微软雅黑" w:hAnsi="微软雅黑" w:eastAsia="微软雅黑" w:cs="微软雅黑"/>
                      <w:color w:val="auto"/>
                      <w:kern w:val="0"/>
                      <w:sz w:val="21"/>
                      <w:szCs w:val="21"/>
                      <w:lang w:bidi="ar"/>
                    </w:rPr>
                  </w:pPr>
                </w:p>
              </w:tc>
            </w:tr>
            <w:tr w14:paraId="4885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restart"/>
                  <w:tcBorders>
                    <w:top w:val="single" w:color="auto" w:sz="4" w:space="0"/>
                    <w:left w:val="single" w:color="auto" w:sz="4" w:space="0"/>
                    <w:bottom w:val="single" w:color="auto" w:sz="4" w:space="0"/>
                    <w:right w:val="single" w:color="auto" w:sz="4" w:space="0"/>
                  </w:tcBorders>
                  <w:vAlign w:val="center"/>
                </w:tcPr>
                <w:p w14:paraId="4D3464B4">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发布服务级（D）</w:t>
                  </w:r>
                </w:p>
              </w:tc>
              <w:tc>
                <w:tcPr>
                  <w:tcW w:w="1150" w:type="dxa"/>
                  <w:tcBorders>
                    <w:top w:val="single" w:color="auto" w:sz="4" w:space="0"/>
                    <w:left w:val="single" w:color="auto" w:sz="4" w:space="0"/>
                    <w:bottom w:val="single" w:color="auto" w:sz="4" w:space="0"/>
                    <w:right w:val="single" w:color="auto" w:sz="4" w:space="0"/>
                  </w:tcBorders>
                  <w:vAlign w:val="center"/>
                </w:tcPr>
                <w:p w14:paraId="6E081C36">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文献短边≥14.8cm（A5尺寸）</w:t>
                  </w:r>
                </w:p>
              </w:tc>
              <w:tc>
                <w:tcPr>
                  <w:tcW w:w="665" w:type="dxa"/>
                  <w:vMerge w:val="restart"/>
                  <w:tcBorders>
                    <w:top w:val="single" w:color="auto" w:sz="4" w:space="0"/>
                    <w:left w:val="single" w:color="auto" w:sz="4" w:space="0"/>
                    <w:bottom w:val="single" w:color="auto" w:sz="4" w:space="0"/>
                    <w:right w:val="single" w:color="auto" w:sz="4" w:space="0"/>
                  </w:tcBorders>
                  <w:vAlign w:val="center"/>
                </w:tcPr>
                <w:p w14:paraId="482F471E">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原有分辨率保持不变</w:t>
                  </w:r>
                </w:p>
              </w:tc>
              <w:tc>
                <w:tcPr>
                  <w:tcW w:w="810" w:type="dxa"/>
                  <w:vMerge w:val="restart"/>
                  <w:tcBorders>
                    <w:top w:val="single" w:color="auto" w:sz="4" w:space="0"/>
                    <w:left w:val="single" w:color="auto" w:sz="4" w:space="0"/>
                    <w:bottom w:val="single" w:color="auto" w:sz="4" w:space="0"/>
                    <w:right w:val="single" w:color="auto" w:sz="4" w:space="0"/>
                  </w:tcBorders>
                  <w:vAlign w:val="center"/>
                </w:tcPr>
                <w:p w14:paraId="58C81B58">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RGB24位</w:t>
                  </w:r>
                </w:p>
              </w:tc>
              <w:tc>
                <w:tcPr>
                  <w:tcW w:w="610" w:type="dxa"/>
                  <w:vMerge w:val="restart"/>
                  <w:tcBorders>
                    <w:top w:val="single" w:color="auto" w:sz="4" w:space="0"/>
                    <w:left w:val="single" w:color="auto" w:sz="4" w:space="0"/>
                    <w:bottom w:val="single" w:color="auto" w:sz="4" w:space="0"/>
                    <w:right w:val="single" w:color="auto" w:sz="4" w:space="0"/>
                  </w:tcBorders>
                  <w:vAlign w:val="center"/>
                </w:tcPr>
                <w:p w14:paraId="0FCDE9D2">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PDF</w:t>
                  </w:r>
                </w:p>
              </w:tc>
              <w:tc>
                <w:tcPr>
                  <w:tcW w:w="830" w:type="dxa"/>
                  <w:vMerge w:val="restart"/>
                  <w:tcBorders>
                    <w:top w:val="single" w:color="auto" w:sz="4" w:space="0"/>
                    <w:left w:val="single" w:color="auto" w:sz="4" w:space="0"/>
                    <w:bottom w:val="single" w:color="auto" w:sz="4" w:space="0"/>
                    <w:right w:val="single" w:color="auto" w:sz="4" w:space="0"/>
                  </w:tcBorders>
                  <w:vAlign w:val="center"/>
                </w:tcPr>
                <w:p w14:paraId="698FD183">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500KB-1MB</w:t>
                  </w:r>
                </w:p>
              </w:tc>
              <w:tc>
                <w:tcPr>
                  <w:tcW w:w="1990" w:type="dxa"/>
                  <w:vMerge w:val="restart"/>
                  <w:tcBorders>
                    <w:top w:val="single" w:color="auto" w:sz="4" w:space="0"/>
                    <w:left w:val="single" w:color="auto" w:sz="4" w:space="0"/>
                    <w:bottom w:val="single" w:color="auto" w:sz="4" w:space="0"/>
                    <w:right w:val="single" w:color="auto" w:sz="4" w:space="0"/>
                  </w:tcBorders>
                  <w:vAlign w:val="center"/>
                </w:tcPr>
                <w:p w14:paraId="49DC4DAC">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原有分辨率即长期保存级采集参数。由无损TIFF格式，通过jpeg2000</w:t>
                  </w:r>
                </w:p>
                <w:p w14:paraId="239C9175">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设定压缩因子，做有损压缩处理并转换为PDF格式。</w:t>
                  </w:r>
                </w:p>
              </w:tc>
            </w:tr>
            <w:tr w14:paraId="6748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tcBorders>
                    <w:top w:val="single" w:color="auto" w:sz="4" w:space="0"/>
                    <w:left w:val="single" w:color="auto" w:sz="4" w:space="0"/>
                    <w:bottom w:val="single" w:color="auto" w:sz="4" w:space="0"/>
                    <w:right w:val="single" w:color="auto" w:sz="4" w:space="0"/>
                  </w:tcBorders>
                  <w:vAlign w:val="center"/>
                </w:tcPr>
                <w:p w14:paraId="3206C786">
                  <w:pPr>
                    <w:pStyle w:val="7"/>
                    <w:keepNext w:val="0"/>
                    <w:keepLines w:val="0"/>
                    <w:pageBreakBefore w:val="0"/>
                    <w:overflowPunct/>
                    <w:topLinePunct w:val="0"/>
                    <w:bidi w:val="0"/>
                    <w:spacing w:beforeAutospacing="0" w:afterAutospacing="0"/>
                    <w:ind w:left="0" w:leftChars="0" w:right="0" w:firstLine="480" w:firstLineChars="200"/>
                    <w:jc w:val="center"/>
                    <w:rPr>
                      <w:rFonts w:hint="eastAsia" w:ascii="微软雅黑" w:hAnsi="微软雅黑" w:eastAsia="微软雅黑" w:cs="微软雅黑"/>
                      <w:color w:val="auto"/>
                      <w:kern w:val="0"/>
                      <w:sz w:val="24"/>
                      <w:szCs w:val="24"/>
                      <w:lang w:bidi="ar"/>
                    </w:rPr>
                  </w:pPr>
                </w:p>
              </w:tc>
              <w:tc>
                <w:tcPr>
                  <w:tcW w:w="1150" w:type="dxa"/>
                  <w:tcBorders>
                    <w:top w:val="single" w:color="auto" w:sz="4" w:space="0"/>
                    <w:left w:val="single" w:color="auto" w:sz="4" w:space="0"/>
                    <w:bottom w:val="single" w:color="auto" w:sz="4" w:space="0"/>
                    <w:right w:val="single" w:color="auto" w:sz="4" w:space="0"/>
                  </w:tcBorders>
                  <w:vAlign w:val="center"/>
                </w:tcPr>
                <w:p w14:paraId="49212CEE">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kern w:val="0"/>
                      <w:sz w:val="24"/>
                      <w:szCs w:val="24"/>
                      <w:lang w:bidi="ar"/>
                    </w:rPr>
                  </w:pPr>
                  <w:r>
                    <w:rPr>
                      <w:rFonts w:hint="eastAsia" w:ascii="微软雅黑" w:hAnsi="微软雅黑" w:eastAsia="微软雅黑" w:cs="微软雅黑"/>
                      <w:color w:val="auto"/>
                      <w:kern w:val="0"/>
                      <w:sz w:val="21"/>
                      <w:szCs w:val="21"/>
                      <w:lang w:bidi="ar"/>
                    </w:rPr>
                    <w:t>文献短边≥21cm（A4尺寸）</w:t>
                  </w:r>
                </w:p>
              </w:tc>
              <w:tc>
                <w:tcPr>
                  <w:tcW w:w="665" w:type="dxa"/>
                  <w:vMerge w:val="continue"/>
                  <w:tcBorders>
                    <w:top w:val="single" w:color="auto" w:sz="4" w:space="0"/>
                    <w:left w:val="single" w:color="auto" w:sz="4" w:space="0"/>
                    <w:bottom w:val="single" w:color="auto" w:sz="4" w:space="0"/>
                    <w:right w:val="single" w:color="auto" w:sz="4" w:space="0"/>
                  </w:tcBorders>
                </w:tcPr>
                <w:p w14:paraId="18C58AB8">
                  <w:pPr>
                    <w:pStyle w:val="7"/>
                    <w:keepNext w:val="0"/>
                    <w:keepLines w:val="0"/>
                    <w:pageBreakBefore w:val="0"/>
                    <w:overflowPunct/>
                    <w:topLinePunct w:val="0"/>
                    <w:bidi w:val="0"/>
                    <w:spacing w:beforeAutospacing="0" w:afterAutospacing="0" w:line="400" w:lineRule="exact"/>
                    <w:ind w:left="0" w:leftChars="0" w:right="0" w:firstLine="480" w:firstLineChars="200"/>
                    <w:rPr>
                      <w:rFonts w:hint="eastAsia" w:ascii="微软雅黑" w:hAnsi="微软雅黑" w:eastAsia="微软雅黑" w:cs="微软雅黑"/>
                      <w:color w:val="auto"/>
                      <w:sz w:val="24"/>
                      <w:szCs w:val="24"/>
                    </w:rPr>
                  </w:pPr>
                </w:p>
              </w:tc>
              <w:tc>
                <w:tcPr>
                  <w:tcW w:w="810" w:type="dxa"/>
                  <w:vMerge w:val="continue"/>
                  <w:tcBorders>
                    <w:top w:val="single" w:color="auto" w:sz="4" w:space="0"/>
                    <w:left w:val="single" w:color="auto" w:sz="4" w:space="0"/>
                    <w:bottom w:val="single" w:color="auto" w:sz="4" w:space="0"/>
                    <w:right w:val="single" w:color="auto" w:sz="4" w:space="0"/>
                  </w:tcBorders>
                </w:tcPr>
                <w:p w14:paraId="6D6769AA">
                  <w:pPr>
                    <w:pStyle w:val="7"/>
                    <w:keepNext w:val="0"/>
                    <w:keepLines w:val="0"/>
                    <w:pageBreakBefore w:val="0"/>
                    <w:overflowPunct/>
                    <w:topLinePunct w:val="0"/>
                    <w:bidi w:val="0"/>
                    <w:spacing w:beforeAutospacing="0" w:afterAutospacing="0" w:line="400" w:lineRule="exact"/>
                    <w:ind w:left="0" w:leftChars="0" w:right="0" w:firstLine="480" w:firstLineChars="200"/>
                    <w:rPr>
                      <w:rFonts w:hint="eastAsia" w:ascii="微软雅黑" w:hAnsi="微软雅黑" w:eastAsia="微软雅黑" w:cs="微软雅黑"/>
                      <w:color w:val="auto"/>
                      <w:sz w:val="24"/>
                      <w:szCs w:val="24"/>
                    </w:rPr>
                  </w:pPr>
                </w:p>
              </w:tc>
              <w:tc>
                <w:tcPr>
                  <w:tcW w:w="610" w:type="dxa"/>
                  <w:vMerge w:val="continue"/>
                  <w:tcBorders>
                    <w:top w:val="single" w:color="auto" w:sz="4" w:space="0"/>
                    <w:left w:val="single" w:color="auto" w:sz="4" w:space="0"/>
                    <w:bottom w:val="single" w:color="auto" w:sz="4" w:space="0"/>
                    <w:right w:val="single" w:color="auto" w:sz="4" w:space="0"/>
                  </w:tcBorders>
                </w:tcPr>
                <w:p w14:paraId="334DA122">
                  <w:pPr>
                    <w:pStyle w:val="7"/>
                    <w:keepNext w:val="0"/>
                    <w:keepLines w:val="0"/>
                    <w:pageBreakBefore w:val="0"/>
                    <w:overflowPunct/>
                    <w:topLinePunct w:val="0"/>
                    <w:bidi w:val="0"/>
                    <w:spacing w:beforeAutospacing="0" w:afterAutospacing="0" w:line="400" w:lineRule="exact"/>
                    <w:ind w:left="0" w:leftChars="0" w:right="0" w:firstLine="480" w:firstLineChars="200"/>
                    <w:rPr>
                      <w:rFonts w:hint="eastAsia" w:ascii="微软雅黑" w:hAnsi="微软雅黑" w:eastAsia="微软雅黑" w:cs="微软雅黑"/>
                      <w:color w:val="auto"/>
                      <w:sz w:val="24"/>
                      <w:szCs w:val="24"/>
                    </w:rPr>
                  </w:pPr>
                </w:p>
              </w:tc>
              <w:tc>
                <w:tcPr>
                  <w:tcW w:w="830" w:type="dxa"/>
                  <w:vMerge w:val="continue"/>
                  <w:tcBorders>
                    <w:top w:val="single" w:color="auto" w:sz="4" w:space="0"/>
                    <w:left w:val="single" w:color="auto" w:sz="4" w:space="0"/>
                    <w:bottom w:val="single" w:color="auto" w:sz="4" w:space="0"/>
                    <w:right w:val="single" w:color="auto" w:sz="4" w:space="0"/>
                  </w:tcBorders>
                </w:tcPr>
                <w:p w14:paraId="442B714A">
                  <w:pPr>
                    <w:pStyle w:val="7"/>
                    <w:keepNext w:val="0"/>
                    <w:keepLines w:val="0"/>
                    <w:pageBreakBefore w:val="0"/>
                    <w:overflowPunct/>
                    <w:topLinePunct w:val="0"/>
                    <w:bidi w:val="0"/>
                    <w:spacing w:beforeAutospacing="0" w:afterAutospacing="0" w:line="400" w:lineRule="exact"/>
                    <w:ind w:left="0" w:leftChars="0" w:right="0" w:firstLine="480" w:firstLineChars="200"/>
                    <w:rPr>
                      <w:rFonts w:hint="eastAsia" w:ascii="微软雅黑" w:hAnsi="微软雅黑" w:eastAsia="微软雅黑" w:cs="微软雅黑"/>
                      <w:color w:val="auto"/>
                      <w:sz w:val="24"/>
                      <w:szCs w:val="24"/>
                    </w:rPr>
                  </w:pPr>
                </w:p>
              </w:tc>
              <w:tc>
                <w:tcPr>
                  <w:tcW w:w="1990" w:type="dxa"/>
                  <w:vMerge w:val="continue"/>
                  <w:tcBorders>
                    <w:top w:val="single" w:color="auto" w:sz="4" w:space="0"/>
                    <w:left w:val="single" w:color="auto" w:sz="4" w:space="0"/>
                    <w:bottom w:val="single" w:color="auto" w:sz="4" w:space="0"/>
                    <w:right w:val="single" w:color="auto" w:sz="4" w:space="0"/>
                  </w:tcBorders>
                </w:tcPr>
                <w:p w14:paraId="51A5F8DA">
                  <w:pPr>
                    <w:pStyle w:val="7"/>
                    <w:keepNext w:val="0"/>
                    <w:keepLines w:val="0"/>
                    <w:pageBreakBefore w:val="0"/>
                    <w:overflowPunct/>
                    <w:topLinePunct w:val="0"/>
                    <w:bidi w:val="0"/>
                    <w:spacing w:beforeAutospacing="0" w:afterAutospacing="0" w:line="400" w:lineRule="exact"/>
                    <w:ind w:left="0" w:leftChars="0" w:right="0" w:firstLine="480" w:firstLineChars="200"/>
                    <w:rPr>
                      <w:rFonts w:hint="eastAsia" w:ascii="微软雅黑" w:hAnsi="微软雅黑" w:eastAsia="微软雅黑" w:cs="微软雅黑"/>
                      <w:color w:val="auto"/>
                      <w:sz w:val="24"/>
                      <w:szCs w:val="24"/>
                    </w:rPr>
                  </w:pPr>
                </w:p>
              </w:tc>
            </w:tr>
          </w:tbl>
          <w:p w14:paraId="67A0753C">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3.2.1格式转换</w:t>
            </w:r>
          </w:p>
          <w:p w14:paraId="11BE5B09">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由无损TIFF格式按jpeg2000压缩方法，在评估文献的纸张颜色、文字大小、清晰度、排版方式等基础上，选择适宜的压缩因子，压缩处理后转换为PDF格式。</w:t>
            </w:r>
          </w:p>
          <w:p w14:paraId="4EB732BF">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3.2.2图像切分</w:t>
            </w:r>
          </w:p>
          <w:p w14:paraId="6522B85B">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半叶图像文件处理。通常数字化采集的古籍图像为双半叶TIFF文件，PDF文件须按半叶图像进行切分保存。切分图像分辨率不做任何改变，以书脊中线为切分线，将原有的半叶处理为独立的页面。书脊右侧的半叶为页面A，书脊左侧的半叶为页面B。切分后，包含古籍版框和文字的图像信息应完整无损，并按命名规则对切分文件进行命名。</w:t>
            </w:r>
          </w:p>
          <w:p w14:paraId="00075547">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（2）古籍封面文件处理。古籍封面的TIFF文件带有色卡和标尺。为保持全册古籍图像画面大小一致，须对封面PDF文件进行色卡和标尺的裁切处理，裁切后只保留古籍封面。</w:t>
            </w:r>
          </w:p>
          <w:p w14:paraId="345F2C95">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3.2.3图像拼接</w:t>
            </w:r>
          </w:p>
          <w:p w14:paraId="423E14EA">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拼接时对图像分辨率不做任何改变，如遇到古籍超大幅面（如地图）分拍采集影像后，按需对古籍图像进行拼接处理，即对PDF格式文件做拼接处理。拼接后图像与馆藏国家古籍原貌基本一致，无重影，拼接处无明显歪斜变形。按命名规则重新对拼接文件进行命名。</w:t>
            </w:r>
          </w:p>
        </w:tc>
      </w:tr>
      <w:tr w14:paraId="3DFDE1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691" w:type="dxa"/>
            <w:vAlign w:val="center"/>
          </w:tcPr>
          <w:p w14:paraId="5C6885C7">
            <w:pPr>
              <w:pStyle w:val="7"/>
              <w:keepNext w:val="0"/>
              <w:keepLines w:val="0"/>
              <w:pageBreakBefore w:val="0"/>
              <w:overflowPunct/>
              <w:topLinePunct w:val="0"/>
              <w:bidi w:val="0"/>
              <w:spacing w:beforeAutospacing="0" w:afterAutospacing="0"/>
              <w:ind w:left="0" w:leftChars="0" w:right="0" w:firstLine="480" w:firstLineChars="200"/>
              <w:jc w:val="center"/>
              <w:rPr>
                <w:rFonts w:hint="default" w:ascii="微软雅黑" w:hAnsi="微软雅黑" w:eastAsia="微软雅黑" w:cs="微软雅黑"/>
                <w:color w:val="auto"/>
                <w:sz w:val="24"/>
                <w:szCs w:val="24"/>
                <w:lang w:val="en-US" w:eastAsia="zh-CN"/>
              </w:rPr>
            </w:pPr>
            <w:r>
              <w:rPr>
                <w:rFonts w:hint="eastAsia" w:ascii="微软雅黑" w:hAnsi="微软雅黑" w:eastAsia="微软雅黑" w:cs="微软雅黑"/>
                <w:b/>
                <w:bCs/>
                <w:color w:val="auto"/>
                <w:sz w:val="24"/>
                <w:szCs w:val="24"/>
                <w:lang w:val="en-US" w:eastAsia="zh-CN"/>
              </w:rPr>
              <w:t>4</w:t>
            </w:r>
          </w:p>
        </w:tc>
        <w:tc>
          <w:tcPr>
            <w:tcW w:w="1150" w:type="dxa"/>
            <w:vAlign w:val="center"/>
          </w:tcPr>
          <w:p w14:paraId="30E10C92">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▲元数据著录</w:t>
            </w:r>
          </w:p>
        </w:tc>
        <w:tc>
          <w:tcPr>
            <w:tcW w:w="7179" w:type="dxa"/>
          </w:tcPr>
          <w:p w14:paraId="44ABF862">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4.1登记内容</w:t>
            </w:r>
          </w:p>
          <w:p w14:paraId="14649C0C">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根据“文献整理登记”项目的内容和要求，客观、准确记录文献存藏现状。古籍文献整理登记项目共18项。具体参照《全国智慧图书馆体系建设：古籍数字化和知识标引规范手册（暂行）》执行。</w:t>
            </w:r>
          </w:p>
          <w:p w14:paraId="72C34708">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4.2元数据制作，分别按文献整理登记、描述元数据、管理元数据等三部分工作，制作6张库表，包括文献整理登记表（全书）、文献整理登记表（各卷）、书目数据表、卷目数据表、外字表、管理信息表。表格要求必须按照《全国智慧图书馆体系建设：古籍数字化和知识标引规范手册》（2024年暂行版）的标准进行。</w:t>
            </w:r>
          </w:p>
          <w:p w14:paraId="4888F378">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4.3所有数据库表格均用通行繁体字填写。遵照XML1.0规范，使用UTF-8编码方式、Unicode5.0字符集。“题名”元素中的卷数、“日期”元素中的年号纪年应使用汉文数字著录。其他如数量、开本尺寸和公元纪年等数字均使用阿拉伯数字著录。</w:t>
            </w:r>
          </w:p>
          <w:p w14:paraId="48F11C48">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4.4著录的古籍基本元素有17个，具体参照《全国智慧图书馆体系建设：古籍数字化和知识标引规范手册（暂行）》执行。</w:t>
            </w:r>
          </w:p>
          <w:p w14:paraId="64D6E041">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4.5表名称和字段内容逐项检查，覆盖面100%。</w:t>
            </w:r>
          </w:p>
          <w:p w14:paraId="2265FF3F">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4.6文字处理错误率不超过0.3‰。</w:t>
            </w:r>
          </w:p>
        </w:tc>
      </w:tr>
      <w:tr w14:paraId="25DE6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691" w:type="dxa"/>
            <w:vAlign w:val="center"/>
          </w:tcPr>
          <w:p w14:paraId="4FBB7F95">
            <w:pPr>
              <w:pStyle w:val="7"/>
              <w:keepNext w:val="0"/>
              <w:keepLines w:val="0"/>
              <w:pageBreakBefore w:val="0"/>
              <w:overflowPunct/>
              <w:topLinePunct w:val="0"/>
              <w:bidi w:val="0"/>
              <w:spacing w:beforeAutospacing="0" w:afterAutospacing="0"/>
              <w:ind w:left="0" w:leftChars="0" w:right="0" w:firstLine="480" w:firstLineChars="200"/>
              <w:jc w:val="center"/>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b/>
                <w:bCs/>
                <w:color w:val="auto"/>
                <w:sz w:val="24"/>
                <w:szCs w:val="24"/>
                <w:lang w:val="en-US" w:eastAsia="zh-CN"/>
              </w:rPr>
              <w:t>5</w:t>
            </w:r>
          </w:p>
        </w:tc>
        <w:tc>
          <w:tcPr>
            <w:tcW w:w="1150" w:type="dxa"/>
            <w:vAlign w:val="center"/>
          </w:tcPr>
          <w:p w14:paraId="671A45F4">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▲标引</w:t>
            </w:r>
          </w:p>
        </w:tc>
        <w:tc>
          <w:tcPr>
            <w:tcW w:w="7179" w:type="dxa"/>
          </w:tcPr>
          <w:p w14:paraId="75FA7EC6">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标引须完成三级类目标引，做到卷目篇名数据标引，结构数据标引内容包括但不限于：函套、书衣、封面（封一、封二、书脊）、牌记、书名页、 出版说明、版权页、序、前言、凡例、目次、正文卷目、插图、夹纸、签条、校勘、附录、索引、插页、后记（跋）、封底等。钤印可作为独立著录对象。</w:t>
            </w:r>
          </w:p>
        </w:tc>
      </w:tr>
      <w:tr w14:paraId="1259B2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691" w:type="dxa"/>
            <w:vAlign w:val="center"/>
          </w:tcPr>
          <w:p w14:paraId="608882C9">
            <w:pPr>
              <w:pStyle w:val="7"/>
              <w:keepNext w:val="0"/>
              <w:keepLines w:val="0"/>
              <w:pageBreakBefore w:val="0"/>
              <w:overflowPunct/>
              <w:topLinePunct w:val="0"/>
              <w:bidi w:val="0"/>
              <w:spacing w:beforeAutospacing="0" w:afterAutospacing="0"/>
              <w:ind w:left="0" w:leftChars="0" w:right="0" w:firstLine="480" w:firstLineChars="200"/>
              <w:jc w:val="center"/>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b/>
                <w:bCs/>
                <w:color w:val="auto"/>
                <w:sz w:val="24"/>
                <w:szCs w:val="24"/>
                <w:lang w:val="en-US" w:eastAsia="zh-CN"/>
              </w:rPr>
              <w:t>6</w:t>
            </w:r>
          </w:p>
        </w:tc>
        <w:tc>
          <w:tcPr>
            <w:tcW w:w="1150" w:type="dxa"/>
            <w:vAlign w:val="center"/>
          </w:tcPr>
          <w:p w14:paraId="700E45AA">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▲全文文本转换</w:t>
            </w:r>
          </w:p>
        </w:tc>
        <w:tc>
          <w:tcPr>
            <w:tcW w:w="7179" w:type="dxa"/>
          </w:tcPr>
          <w:p w14:paraId="6E937321">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 xml:space="preserve">5.1文本数据具备唯一标识符。 </w:t>
            </w:r>
          </w:p>
          <w:p w14:paraId="29B4BA3E">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 xml:space="preserve">5.2文本数据内容应忠实于原典文献，完整有序。 </w:t>
            </w:r>
          </w:p>
          <w:p w14:paraId="15599CBD">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5.3元数据著录项目完整，著录信息准确。 </w:t>
            </w:r>
          </w:p>
          <w:p w14:paraId="29DECBB0">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5.4集外字处理。对于集外字或现有字库中无法显示的汉字，应建立“集外字表”，详细填写该字的描述信息。描述方法具体参见国家图书馆编《汉语文古籍机读目录格式使用手册》中393字段“系统外字附注”等相关说明。 </w:t>
            </w:r>
          </w:p>
          <w:p w14:paraId="6338EE49">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5.5文本数据与基本元数据、结构数据、标引数据、说明文件等各类数据，具有关联关系且著录无误。 </w:t>
            </w:r>
          </w:p>
          <w:p w14:paraId="1A1A4E13">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5.6文件格式与编码著录无误。 </w:t>
            </w:r>
          </w:p>
          <w:p w14:paraId="7E31E36C">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5.7文本数据的字符、符号等信息的综合错误率不超过 1‰。</w:t>
            </w:r>
          </w:p>
          <w:p w14:paraId="5AEEB319">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5.8识别的图片文字含文字坐标信息，能进行版式还原。校对后的文本与原始图像文件进行属性标注，实现图文关联。</w:t>
            </w:r>
          </w:p>
        </w:tc>
      </w:tr>
      <w:tr w14:paraId="6D3F23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691" w:type="dxa"/>
            <w:vAlign w:val="center"/>
          </w:tcPr>
          <w:p w14:paraId="1621D256">
            <w:pPr>
              <w:pStyle w:val="7"/>
              <w:keepNext w:val="0"/>
              <w:keepLines w:val="0"/>
              <w:pageBreakBefore w:val="0"/>
              <w:overflowPunct/>
              <w:topLinePunct w:val="0"/>
              <w:bidi w:val="0"/>
              <w:spacing w:beforeAutospacing="0" w:afterAutospacing="0"/>
              <w:ind w:left="0" w:leftChars="0" w:right="0" w:firstLine="480" w:firstLineChars="200"/>
              <w:jc w:val="center"/>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b/>
                <w:bCs/>
                <w:color w:val="auto"/>
                <w:sz w:val="24"/>
                <w:szCs w:val="24"/>
                <w:lang w:val="en-US" w:eastAsia="zh-CN"/>
              </w:rPr>
              <w:t>7</w:t>
            </w:r>
          </w:p>
        </w:tc>
        <w:tc>
          <w:tcPr>
            <w:tcW w:w="1150" w:type="dxa"/>
            <w:vAlign w:val="center"/>
          </w:tcPr>
          <w:p w14:paraId="2A8EEE0F">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★筒子叶拼接</w:t>
            </w:r>
          </w:p>
        </w:tc>
        <w:tc>
          <w:tcPr>
            <w:tcW w:w="7179" w:type="dxa"/>
          </w:tcPr>
          <w:p w14:paraId="484F6D7F">
            <w:pPr>
              <w:pStyle w:val="7"/>
              <w:keepNext w:val="0"/>
              <w:keepLines w:val="0"/>
              <w:pageBreakBefore w:val="0"/>
              <w:overflowPunct/>
              <w:topLinePunct w:val="0"/>
              <w:bidi w:val="0"/>
              <w:adjustRightInd w:val="0"/>
              <w:snapToGrid w:val="0"/>
              <w:spacing w:beforeAutospacing="0" w:afterAutospacing="0" w:line="360" w:lineRule="auto"/>
              <w:ind w:left="0" w:leftChars="0" w:right="0" w:firstLine="480" w:firstLineChars="200"/>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drawing>
                <wp:inline distT="0" distB="0" distL="114300" distR="114300">
                  <wp:extent cx="3578225" cy="3031490"/>
                  <wp:effectExtent l="0" t="0" r="3175" b="3810"/>
                  <wp:docPr id="3" name="图片 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1"/>
                          <pic:cNvPicPr>
                            <a:picLocks noChangeAspect="1"/>
                          </pic:cNvPicPr>
                        </pic:nvPicPr>
                        <pic:blipFill>
                          <a:blip r:embed="rId5"/>
                          <a:stretch>
                            <a:fillRect/>
                          </a:stretch>
                        </pic:blipFill>
                        <pic:spPr>
                          <a:xfrm>
                            <a:off x="0" y="0"/>
                            <a:ext cx="3578225" cy="3031490"/>
                          </a:xfrm>
                          <a:prstGeom prst="rect">
                            <a:avLst/>
                          </a:prstGeom>
                          <a:noFill/>
                          <a:ln>
                            <a:noFill/>
                          </a:ln>
                        </pic:spPr>
                      </pic:pic>
                    </a:graphicData>
                  </a:graphic>
                </wp:inline>
              </w:drawing>
            </w:r>
          </w:p>
          <w:p w14:paraId="2A2875E2">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b/>
                <w:bCs/>
                <w:color w:val="auto"/>
                <w:sz w:val="24"/>
                <w:szCs w:val="24"/>
              </w:rPr>
              <w:t>为确保古籍数字化加工成果的规范呈现与高效利用，需对扫描生成的古籍单页图像执行筒子叶拼接操作。拼接过程中，须严格保持原图像的像素信息（包括分辨率、像素值等）不被改变，拼接完成的图像以JPG格式保存。同时，应对拼接后的图像进行加边处理，加边尺寸及样式需符合古籍数字化标准，以保障古籍书页整体形态的完整性与视觉呈现的美观性。最终，将处理完成的图像按规范合成为PDF文件，上传至古籍资源平台。</w:t>
            </w:r>
          </w:p>
        </w:tc>
      </w:tr>
      <w:tr w14:paraId="6AAC52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691" w:type="dxa"/>
            <w:vAlign w:val="center"/>
          </w:tcPr>
          <w:p w14:paraId="2A398C99">
            <w:pPr>
              <w:pStyle w:val="7"/>
              <w:keepNext w:val="0"/>
              <w:keepLines w:val="0"/>
              <w:pageBreakBefore w:val="0"/>
              <w:overflowPunct/>
              <w:topLinePunct w:val="0"/>
              <w:bidi w:val="0"/>
              <w:spacing w:beforeAutospacing="0" w:afterAutospacing="0"/>
              <w:ind w:left="0" w:leftChars="0" w:right="0" w:firstLine="480" w:firstLineChars="200"/>
              <w:jc w:val="center"/>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b/>
                <w:bCs/>
                <w:color w:val="auto"/>
                <w:sz w:val="24"/>
                <w:szCs w:val="24"/>
                <w:lang w:val="en-US" w:eastAsia="zh-CN"/>
              </w:rPr>
              <w:t>8</w:t>
            </w:r>
          </w:p>
        </w:tc>
        <w:tc>
          <w:tcPr>
            <w:tcW w:w="1150" w:type="dxa"/>
            <w:vAlign w:val="center"/>
          </w:tcPr>
          <w:p w14:paraId="7CD3A4C4">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★双层PDF生成</w:t>
            </w:r>
          </w:p>
        </w:tc>
        <w:tc>
          <w:tcPr>
            <w:tcW w:w="7179" w:type="dxa"/>
          </w:tcPr>
          <w:p w14:paraId="5E64F594">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按照古籍数字化标准，对数字化扫描加工的古籍文件生成对应的双层PDF。文字错误率不超过1‰。</w:t>
            </w:r>
          </w:p>
          <w:p w14:paraId="622E0AB3">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经过图像处理和OCR识别，采用图在文上的模式进行双层PDF输出。该文件是双层的，上层是原始图像，下层是识别结果。PDF文件的图像层包括古籍图书从封面到封底的所有叶。根据图像尺寸、颜色、数据存储量，按JPEG2000有损压缩，压缩因子适度动态调整，在确保图像清晰的情况下，尽量压缩图像文件所占空间至最小。PDF文件的文字层所使用的字体以“已嵌入子集”方式嵌入PDF文件。PDF单个文件存储容量不超过1MB。</w:t>
            </w:r>
          </w:p>
          <w:p w14:paraId="1B5D705D">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PDF文件格式编码为1.5版本以上，兼容Adobe reader6.0及以上版本。</w:t>
            </w:r>
          </w:p>
        </w:tc>
      </w:tr>
      <w:tr w14:paraId="1C1EB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691" w:type="dxa"/>
            <w:vAlign w:val="center"/>
          </w:tcPr>
          <w:p w14:paraId="6FE6444D">
            <w:pPr>
              <w:pStyle w:val="7"/>
              <w:keepNext w:val="0"/>
              <w:keepLines w:val="0"/>
              <w:pageBreakBefore w:val="0"/>
              <w:overflowPunct/>
              <w:topLinePunct w:val="0"/>
              <w:bidi w:val="0"/>
              <w:spacing w:beforeAutospacing="0" w:afterAutospacing="0"/>
              <w:ind w:left="0" w:leftChars="0" w:right="0" w:firstLine="480" w:firstLineChars="200"/>
              <w:jc w:val="center"/>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b/>
                <w:bCs/>
                <w:color w:val="auto"/>
                <w:sz w:val="24"/>
                <w:szCs w:val="24"/>
                <w:lang w:val="en-US" w:eastAsia="zh-CN"/>
              </w:rPr>
              <w:t>9</w:t>
            </w:r>
          </w:p>
        </w:tc>
        <w:tc>
          <w:tcPr>
            <w:tcW w:w="1150" w:type="dxa"/>
            <w:vAlign w:val="center"/>
          </w:tcPr>
          <w:p w14:paraId="6FD74092">
            <w:pPr>
              <w:pStyle w:val="7"/>
              <w:keepNext w:val="0"/>
              <w:keepLines w:val="0"/>
              <w:pageBreakBefore w:val="0"/>
              <w:overflowPunct/>
              <w:topLinePunct w:val="0"/>
              <w:bidi w:val="0"/>
              <w:spacing w:beforeAutospacing="0" w:afterAutospacing="0"/>
              <w:ind w:right="0"/>
              <w:jc w:val="both"/>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★数据导入与终端展示</w:t>
            </w:r>
          </w:p>
        </w:tc>
        <w:tc>
          <w:tcPr>
            <w:tcW w:w="7179" w:type="dxa"/>
          </w:tcPr>
          <w:p w14:paraId="2FD511F5">
            <w:pPr>
              <w:pStyle w:val="7"/>
              <w:keepNext w:val="0"/>
              <w:keepLines w:val="0"/>
              <w:pageBreakBefore w:val="0"/>
              <w:overflowPunct/>
              <w:topLinePunct w:val="0"/>
              <w:bidi w:val="0"/>
              <w:spacing w:beforeAutospacing="0" w:afterAutospacing="0" w:line="360" w:lineRule="exact"/>
              <w:ind w:left="0" w:leftChars="0" w:right="0" w:firstLine="480" w:firstLineChars="200"/>
              <w:jc w:val="lef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中标人须严格按照采购人的具体技术规范及操作要求，将经审核通过的古籍数字化加工成果，完整、准确地上传至采购人指定的湖南省古籍智慧化服务平台，并完成发布及终端展示环节的全部操作，确保成果在终端上正常呈现。</w:t>
            </w:r>
          </w:p>
        </w:tc>
      </w:tr>
    </w:tbl>
    <w:p w14:paraId="60DEEABA">
      <w:pPr>
        <w:pStyle w:val="7"/>
        <w:keepNext w:val="0"/>
        <w:keepLines w:val="0"/>
        <w:pageBreakBefore w:val="0"/>
        <w:overflowPunct/>
        <w:topLinePunct w:val="0"/>
        <w:bidi w:val="0"/>
        <w:snapToGrid w:val="0"/>
        <w:spacing w:beforeAutospacing="0" w:afterAutospacing="0" w:line="400" w:lineRule="exact"/>
        <w:ind w:left="0" w:leftChars="0" w:right="0" w:firstLine="480" w:firstLineChars="200"/>
        <w:jc w:val="left"/>
        <w:rPr>
          <w:rFonts w:hint="eastAsia" w:ascii="微软雅黑" w:hAnsi="微软雅黑" w:eastAsia="微软雅黑" w:cs="微软雅黑"/>
          <w:color w:val="auto"/>
          <w:sz w:val="24"/>
          <w:szCs w:val="24"/>
        </w:rPr>
      </w:pPr>
    </w:p>
    <w:p w14:paraId="62DFD256">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outlineLvl w:val="1"/>
        <w:rPr>
          <w:rFonts w:hint="eastAsia" w:ascii="微软雅黑" w:hAnsi="微软雅黑" w:eastAsia="微软雅黑" w:cs="微软雅黑"/>
          <w:b/>
          <w:bCs/>
          <w:color w:val="auto"/>
          <w:sz w:val="24"/>
          <w:szCs w:val="24"/>
        </w:rPr>
      </w:pPr>
      <w:bookmarkStart w:id="2" w:name="_Toc28448"/>
      <w:bookmarkStart w:id="3" w:name="_Toc256000045"/>
      <w:r>
        <w:rPr>
          <w:rFonts w:hint="eastAsia" w:ascii="微软雅黑" w:hAnsi="微软雅黑" w:eastAsia="微软雅黑" w:cs="微软雅黑"/>
          <w:b/>
          <w:bCs/>
          <w:color w:val="auto"/>
          <w:sz w:val="24"/>
          <w:szCs w:val="24"/>
        </w:rPr>
        <w:t>（二）古籍数字化项目提交及自检要求</w:t>
      </w:r>
      <w:bookmarkEnd w:id="2"/>
      <w:bookmarkEnd w:id="3"/>
    </w:p>
    <w:p w14:paraId="3F95153E">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1、古籍数字化项目成品提交要求</w:t>
      </w:r>
    </w:p>
    <w:p w14:paraId="555CC9DB">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（1）中标人须在2026年12月</w:t>
      </w:r>
      <w:r>
        <w:rPr>
          <w:rFonts w:hint="eastAsia" w:ascii="微软雅黑" w:hAnsi="微软雅黑" w:eastAsia="微软雅黑" w:cs="微软雅黑"/>
          <w:color w:val="auto"/>
          <w:sz w:val="24"/>
          <w:szCs w:val="24"/>
          <w:lang w:val="en-US" w:eastAsia="zh-CN"/>
        </w:rPr>
        <w:t>20</w:t>
      </w:r>
      <w:r>
        <w:rPr>
          <w:rFonts w:hint="eastAsia" w:ascii="微软雅黑" w:hAnsi="微软雅黑" w:eastAsia="微软雅黑" w:cs="微软雅黑"/>
          <w:color w:val="auto"/>
          <w:sz w:val="24"/>
          <w:szCs w:val="24"/>
        </w:rPr>
        <w:t>日之前完成古籍数字化项目成品的验收和提交。</w:t>
      </w:r>
    </w:p>
    <w:p w14:paraId="63B8CAB2">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（2）数据备份：中标人须将古籍资源加工所有数据</w:t>
      </w:r>
      <w:r>
        <w:rPr>
          <w:rFonts w:hint="eastAsia" w:ascii="微软雅黑" w:hAnsi="微软雅黑" w:eastAsia="微软雅黑" w:cs="微软雅黑"/>
          <w:b/>
          <w:bCs/>
          <w:color w:val="auto"/>
          <w:sz w:val="24"/>
          <w:szCs w:val="24"/>
        </w:rPr>
        <w:t>用移动硬盘备份完整备份三套。</w:t>
      </w:r>
    </w:p>
    <w:p w14:paraId="4344FD55">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严格按照双方商定的工作机制，中标人须准时将每批次的数字化成品数据及时</w:t>
      </w:r>
      <w:r>
        <w:rPr>
          <w:rFonts w:hint="eastAsia" w:ascii="微软雅黑" w:hAnsi="微软雅黑" w:eastAsia="微软雅黑" w:cs="微软雅黑"/>
          <w:b/>
          <w:bCs/>
          <w:color w:val="auto"/>
          <w:sz w:val="24"/>
          <w:szCs w:val="24"/>
        </w:rPr>
        <w:t>上传至采购人指定的服务器里</w:t>
      </w:r>
      <w:r>
        <w:rPr>
          <w:rFonts w:hint="eastAsia" w:ascii="微软雅黑" w:hAnsi="微软雅黑" w:eastAsia="微软雅黑" w:cs="微软雅黑"/>
          <w:color w:val="auto"/>
          <w:sz w:val="24"/>
          <w:szCs w:val="24"/>
        </w:rPr>
        <w:t>，并用</w:t>
      </w:r>
      <w:r>
        <w:rPr>
          <w:rFonts w:hint="eastAsia" w:ascii="微软雅黑" w:hAnsi="微软雅黑" w:eastAsia="微软雅黑" w:cs="微软雅黑"/>
          <w:b/>
          <w:bCs/>
          <w:color w:val="auto"/>
          <w:sz w:val="24"/>
          <w:szCs w:val="24"/>
        </w:rPr>
        <w:t>移动硬盘</w:t>
      </w:r>
      <w:r>
        <w:rPr>
          <w:rFonts w:hint="eastAsia" w:ascii="微软雅黑" w:hAnsi="微软雅黑" w:eastAsia="微软雅黑" w:cs="微软雅黑"/>
          <w:color w:val="auto"/>
          <w:sz w:val="24"/>
          <w:szCs w:val="24"/>
        </w:rPr>
        <w:t>移交给采购人。</w:t>
      </w:r>
    </w:p>
    <w:p w14:paraId="48B78A95">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（3）数字化成品数据包括：（1）文献图像资源；（2）图像内容标记清单；（3）每批次文献数字化情况统计表，内容包括每箱/包已扫描件数、生成页数、未扫描件数及各类未扫描数量明细。</w:t>
      </w:r>
    </w:p>
    <w:p w14:paraId="444C54C3">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最终成果数据包含：XML文件，内容包括古籍基本元数据、结构数据、卷目篇名著录；长期保存级、发布服务级数据，包括：TIFF格式文件，JPG格式文件，PDF格式文件，双层PDF格式文件，TXT格式文件；古籍文献整理登记表和外字表用EXCEL表；各类数据的总体说明文件用EXCEL表填写。</w:t>
      </w:r>
    </w:p>
    <w:p w14:paraId="3F5CA67D">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（5）采购人不定期对古籍数字化成品采取抽样检查，中标人须对不合格数字化加工成品无条件进行整改。</w:t>
      </w:r>
    </w:p>
    <w:p w14:paraId="606BE798">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（6）古籍数字化数据以</w:t>
      </w:r>
      <w:r>
        <w:rPr>
          <w:rFonts w:hint="eastAsia" w:ascii="微软雅黑" w:hAnsi="微软雅黑" w:eastAsia="微软雅黑" w:cs="微软雅黑"/>
          <w:b/>
          <w:bCs/>
          <w:color w:val="auto"/>
          <w:sz w:val="24"/>
          <w:szCs w:val="24"/>
        </w:rPr>
        <w:t>移动硬盘</w:t>
      </w:r>
      <w:r>
        <w:rPr>
          <w:rFonts w:hint="eastAsia" w:ascii="微软雅黑" w:hAnsi="微软雅黑" w:eastAsia="微软雅黑" w:cs="微软雅黑"/>
          <w:color w:val="auto"/>
          <w:sz w:val="24"/>
          <w:szCs w:val="24"/>
        </w:rPr>
        <w:t>的方式交付，相关设备费用由中标人承担。</w:t>
      </w:r>
    </w:p>
    <w:p w14:paraId="26A0986C">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（7）数据加工完成须提供第三方质检报告。</w:t>
      </w:r>
    </w:p>
    <w:p w14:paraId="7A0437C7">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（8）项目提交验收后，中标人不得保存采购人任何业务数据、数字化成果及任何的存储设备。</w:t>
      </w:r>
    </w:p>
    <w:p w14:paraId="0EDCD79D">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2、自检要求</w:t>
      </w:r>
    </w:p>
    <w:p w14:paraId="49486180">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（1）送检数据与《古籍数字资源提交单》的内容一致，各种格式数据和数据说明文件一一对应，不可夹杂无关文件。</w:t>
      </w:r>
    </w:p>
    <w:p w14:paraId="78D13F91">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（2）各种标引、说明文件的文字、符号、版式、位置和名称准确，其综合错误率不超过0.3‰。</w:t>
      </w:r>
    </w:p>
    <w:p w14:paraId="0E80963D">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（3）图像数据扫描方式、扫描规格、文件格式、文件命名、图像处理、压缩方式等符合要求，其综合错误率不超过1‰。</w:t>
      </w:r>
    </w:p>
    <w:p w14:paraId="76105FAC">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（4）成品数据备份数量、保存介质命名、数据存放方式、数据内容符合规范要求，且各类型保存介质内无坏死文件、不准携带病毒，错误率为0。</w:t>
      </w:r>
    </w:p>
    <w:p w14:paraId="6D334E8E">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（5）达到验收标准的数据视为合格，在规定错误率范围内检查出的数据问题由中标人进行修正；超出错误率、未达到验收标准的数据由中标人对全部提交数据进行整改、重新数字化等返工处理。</w:t>
      </w:r>
    </w:p>
    <w:p w14:paraId="64598E34">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（6）对所有文献原件、数字化加工后的图像数据与业务统计数据，中标人须按照采购人要求定期进行质量自检，采购人定期进行抽样，具体检查项目与标准如下：</w:t>
      </w:r>
    </w:p>
    <w:p w14:paraId="5AB13B07">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文献原件100%不丢失、不外流。</w:t>
      </w:r>
    </w:p>
    <w:p w14:paraId="5C326916">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每一批次文献不得出现人为损坏。</w:t>
      </w:r>
    </w:p>
    <w:p w14:paraId="14F66043">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每一页图像参照图像处理要求（包括裁边、偏斜度、色彩明暗）100%达标。</w:t>
      </w:r>
    </w:p>
    <w:p w14:paraId="4AD7BA10">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文献原件除经采购人确认无法扫描外，100%不漏扫。</w:t>
      </w:r>
    </w:p>
    <w:p w14:paraId="5109DBD7">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如有需要进行重扫、补扫，完成率100%。</w:t>
      </w:r>
    </w:p>
    <w:p w14:paraId="0243B3C1">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图像内容标记项目填写完整、规范，准确率99%，完成率100%。</w:t>
      </w:r>
    </w:p>
    <w:p w14:paraId="7A53B51F">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图像数据文件夹排序、命名正确率100%。</w:t>
      </w:r>
    </w:p>
    <w:p w14:paraId="78586770">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每批次文献交接说明文件项目填写完整、规范、及时，准确率99%，完成率100%。</w:t>
      </w:r>
    </w:p>
    <w:p w14:paraId="72852A4C">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7）数字化成品数据的质量保证期为长期，中标人应对由于资料前期处理、文献扫描、图像处理、数据内容标记与整理、数据提交等环节发生的缺陷、错漏负责，并须在采购人提出修正要求后10天之内，负责重新加工。</w:t>
      </w:r>
    </w:p>
    <w:p w14:paraId="79B49420">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outlineLvl w:val="1"/>
        <w:rPr>
          <w:rFonts w:hint="eastAsia" w:ascii="微软雅黑" w:hAnsi="微软雅黑" w:eastAsia="微软雅黑" w:cs="微软雅黑"/>
          <w:b/>
          <w:bCs/>
          <w:color w:val="auto"/>
          <w:sz w:val="24"/>
          <w:szCs w:val="24"/>
        </w:rPr>
      </w:pPr>
      <w:bookmarkStart w:id="4" w:name="_Toc12938"/>
      <w:bookmarkStart w:id="5" w:name="_Toc256000046"/>
      <w:r>
        <w:rPr>
          <w:rFonts w:hint="eastAsia" w:ascii="微软雅黑" w:hAnsi="微软雅黑" w:eastAsia="微软雅黑" w:cs="微软雅黑"/>
          <w:b/>
          <w:bCs/>
          <w:color w:val="auto"/>
          <w:sz w:val="24"/>
          <w:szCs w:val="24"/>
        </w:rPr>
        <w:t>（三）安全保障和保密性要求</w:t>
      </w:r>
      <w:bookmarkEnd w:id="4"/>
      <w:bookmarkEnd w:id="5"/>
    </w:p>
    <w:p w14:paraId="1FA38CD5">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1、采购人古籍数字化项目工作场地必须在采购人指定地点进行，文献不得离开指定地点，加工场地须有现场监控以确保数据安全。</w:t>
      </w:r>
    </w:p>
    <w:p w14:paraId="605E8EEF">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bookmarkStart w:id="6" w:name="_Toc6714"/>
      <w:r>
        <w:rPr>
          <w:rFonts w:hint="eastAsia" w:ascii="微软雅黑" w:hAnsi="微软雅黑" w:eastAsia="微软雅黑" w:cs="微软雅黑"/>
          <w:color w:val="auto"/>
          <w:sz w:val="24"/>
          <w:szCs w:val="24"/>
        </w:rPr>
        <w:t>2、为保证加工工作高效开展，双方应及时沟通协调，中标人项目现场管理人员应设置AB角色，保证管理人员始终在岗。不得随意更换项目负责人和工作人员，如确需要更换的，须按程序经采购人同意。</w:t>
      </w:r>
      <w:bookmarkEnd w:id="6"/>
    </w:p>
    <w:p w14:paraId="269E5293">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本项目古籍数字化资源版权属采购人独家所有，加工的数据须绝对保密，中标人加工的任何古籍图片不得擅自对外发布。中标人和采购人签订承诺函和保密协议，承诺数据不得私自下载、留存,不得以任何方式带出工作场所或向外泄露，并严格执行。如出现数字资源信息外泄情况，须承担赔偿与相关的法律责任。</w:t>
      </w:r>
    </w:p>
    <w:p w14:paraId="22D28C86">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参与本项目数字化加工的设备禁止连接互联网。参与本项目加工的全部计算机设备均拆除光驱、软驱，封闭USB端口。加工系统的服务器须两个管理员同时在场才能操作，其他任何人不得操作服务器。严禁非项目工作人员携带U盘、移动硬盘等移动存储设备进入工作现场。所有存储设备须提交给采购人。</w:t>
      </w:r>
    </w:p>
    <w:p w14:paraId="0265B039">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5、扫描中古籍由中标人和采购人指定专人负责交接，古籍分批次提取和归还，不得零散归还。取还书时间由中标人与采购人根据实际情况协商确定。</w:t>
      </w:r>
    </w:p>
    <w:p w14:paraId="12262F62">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6、扫描工作完成后，中标人应对照出库工作单核对返库古籍的种数、册数，检查扫描中有无损坏，填写返库检验工作单，中标人检查无误后，古籍要整批次返还采购人，同时还要随书将中标人填写的返库检验工作单和采购人填写的出库工作单一起交付采购人，以备采购人核查。</w:t>
      </w:r>
    </w:p>
    <w:p w14:paraId="5DF490AD">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7、扫描期间，古籍离开书库到扫描完毕，中标人应保证古籍的绝对安全，符合采购人的保存、保护和安全规则。本着保护古籍要求，原则上不拆书扫描。</w:t>
      </w:r>
    </w:p>
    <w:p w14:paraId="0A5F3809">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8、古籍数字化图像须由采购人指派专人进行拷贝，现场各环节交接时，双方必须对照交接清单核对古籍名称及图片数量无误后方可交接。</w:t>
      </w:r>
    </w:p>
    <w:p w14:paraId="01F55610">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9、工作过程中，对有特殊标志或者疑问的古籍，须经采购人确认后再开始数字化加工并记录。</w:t>
      </w:r>
    </w:p>
    <w:p w14:paraId="3BF35E68">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10、处理后的数字化图片（无压缩版）及其版权均归采购人独家所有，项目结束后，中标人工作站上所有数据将拷贝回采购人，中标人储存器相关数据须在采购人现场监督下进行销毁。项目建设过程中及项目结束后，严禁一切用途的文献原件及数字化成果利用。如有违约行为，中标人承担赔偿与相关法律责任。</w:t>
      </w:r>
    </w:p>
    <w:p w14:paraId="02799746">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11、项目开展后，中标人需每月底定期向采购人汇报当前项目进度，以确保项目按约完成。</w:t>
      </w:r>
    </w:p>
    <w:p w14:paraId="0DAD1A98">
      <w:pPr>
        <w:pStyle w:val="7"/>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12、因中标人人为因素造成古籍损害的，中标人须按市价赔偿，价格由专家评估后确定。若双方无法协商，由仲裁机构处理。</w:t>
      </w:r>
    </w:p>
    <w:p w14:paraId="3D33A7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282FC3"/>
    <w:rsid w:val="35282FC3"/>
    <w:rsid w:val="37E56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正文首行缩进1"/>
    <w:qFormat/>
    <w:uiPriority w:val="0"/>
    <w:pPr>
      <w:widowControl w:val="0"/>
      <w:spacing w:after="120"/>
      <w:ind w:firstLine="420" w:firstLineChars="100"/>
      <w:jc w:val="both"/>
    </w:pPr>
    <w:rPr>
      <w:rFonts w:ascii="Calibri" w:hAnsi="Calibri" w:eastAsia="宋体" w:cs="Times New Roman"/>
      <w:kern w:val="2"/>
      <w:sz w:val="32"/>
      <w:szCs w:val="22"/>
      <w:lang w:val="en-US" w:eastAsia="zh-CN" w:bidi="ar-SA"/>
    </w:rPr>
  </w:style>
  <w:style w:type="paragraph" w:styleId="3">
    <w:name w:val="footer"/>
    <w:basedOn w:val="1"/>
    <w:next w:val="1"/>
    <w:unhideWhenUsed/>
    <w:qFormat/>
    <w:uiPriority w:val="99"/>
    <w:pPr>
      <w:tabs>
        <w:tab w:val="center" w:pos="4153"/>
        <w:tab w:val="right" w:pos="8306"/>
      </w:tabs>
      <w:snapToGrid w:val="0"/>
      <w:jc w:val="left"/>
    </w:pPr>
    <w:rPr>
      <w:sz w:val="18"/>
      <w:szCs w:val="18"/>
    </w:rPr>
  </w:style>
  <w:style w:type="character" w:customStyle="1" w:styleId="6">
    <w:name w:val="fontstyle01"/>
    <w:qFormat/>
    <w:uiPriority w:val="0"/>
    <w:rPr>
      <w:rFonts w:hint="eastAsia" w:ascii="黑体" w:hAnsi="黑体" w:eastAsia="黑体"/>
      <w:color w:val="000000"/>
      <w:sz w:val="30"/>
      <w:szCs w:val="30"/>
    </w:rPr>
  </w:style>
  <w:style w:type="paragraph" w:customStyle="1" w:styleId="7">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7167</Words>
  <Characters>7592</Characters>
  <Lines>0</Lines>
  <Paragraphs>0</Paragraphs>
  <TotalTime>2</TotalTime>
  <ScaleCrop>false</ScaleCrop>
  <LinksUpToDate>false</LinksUpToDate>
  <CharactersWithSpaces>7635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2026-08-26T03:47:00Z</dcterms:created>
  <dc:creator>李麋鹿</dc:creator>
  <cp:lastModifiedBy>李麋鹿</cp:lastModifiedBy>
  <dcterms:modified xsi:type="dcterms:W3CDTF">2026-08-26T07:33:20Z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37B6625C2EBB4AC7A7733F8B177F2E41_11</vt:lpwstr>
  </property>
  <property fmtid="{D5CDD505-2E9C-101B-9397-08002B2CF9AE}" pid="4" name="KSOTemplateDocerSaveRecord">
    <vt:lpwstr>eyJoZGlkIjoiZmI4YWVhMDJmZmE4NjVjMTExMzg0NzE0ZDk2ODJlNmYiLCJ1c2VySWQiOiI0MjE2MDcwMzYifQ==</vt:lpwstr>
  </property>
</Properties>
</file>